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C41" w:rsidRDefault="002513C8" w:rsidP="00CE530D">
      <w:pPr>
        <w:pStyle w:val="Heading1"/>
      </w:pPr>
      <w:r>
        <w:t>CAWTHORNE PARISH COUNCIL</w:t>
      </w:r>
    </w:p>
    <w:p w:rsidR="002513C8" w:rsidRDefault="002513C8" w:rsidP="00CE530D">
      <w:pPr>
        <w:pStyle w:val="Heading2"/>
      </w:pPr>
      <w:r>
        <w:t>MINUTES OF THE MEETING OF CAWTHORNE PARISH COUNCIL HELD VIRTUALLY ON THURSDAY 18</w:t>
      </w:r>
      <w:r w:rsidRPr="002513C8">
        <w:rPr>
          <w:vertAlign w:val="superscript"/>
        </w:rPr>
        <w:t>TH</w:t>
      </w:r>
      <w:r>
        <w:t xml:space="preserve"> JUNE 2020</w:t>
      </w:r>
    </w:p>
    <w:p w:rsidR="002513C8" w:rsidRDefault="002513C8" w:rsidP="00CE530D"/>
    <w:p w:rsidR="002513C8" w:rsidRPr="002513C8" w:rsidRDefault="002513C8" w:rsidP="00CE530D">
      <w:pPr>
        <w:pStyle w:val="Heading3"/>
      </w:pPr>
      <w:r w:rsidRPr="002513C8">
        <w:t>Present</w:t>
      </w:r>
    </w:p>
    <w:p w:rsidR="002513C8" w:rsidRPr="002513C8" w:rsidRDefault="002513C8" w:rsidP="002513C8">
      <w:pPr>
        <w:pStyle w:val="NoSpacing"/>
        <w:rPr>
          <w:rFonts w:cs="Arial"/>
        </w:rPr>
      </w:pPr>
      <w:r w:rsidRPr="002513C8">
        <w:rPr>
          <w:rFonts w:cs="Arial"/>
        </w:rPr>
        <w:t xml:space="preserve">Councillors: R Barr, </w:t>
      </w:r>
      <w:r w:rsidR="00E9125C">
        <w:rPr>
          <w:rFonts w:cs="Arial"/>
        </w:rPr>
        <w:t xml:space="preserve">Mrs </w:t>
      </w:r>
      <w:r w:rsidRPr="002513C8">
        <w:rPr>
          <w:rFonts w:cs="Arial"/>
        </w:rPr>
        <w:t>M Broadhead, S Eyre, P Kilner</w:t>
      </w:r>
      <w:r w:rsidR="00D51307">
        <w:rPr>
          <w:rFonts w:cs="Arial"/>
        </w:rPr>
        <w:t xml:space="preserve"> (chair)</w:t>
      </w:r>
      <w:r w:rsidRPr="002513C8">
        <w:rPr>
          <w:rFonts w:cs="Arial"/>
        </w:rPr>
        <w:t xml:space="preserve">, </w:t>
      </w:r>
      <w:r w:rsidR="00E9125C">
        <w:rPr>
          <w:rFonts w:cs="Arial"/>
        </w:rPr>
        <w:t xml:space="preserve">Miss </w:t>
      </w:r>
      <w:r w:rsidRPr="002513C8">
        <w:rPr>
          <w:rFonts w:cs="Arial"/>
        </w:rPr>
        <w:t>C Sidebottom, J Walker</w:t>
      </w:r>
    </w:p>
    <w:p w:rsidR="002513C8" w:rsidRPr="002513C8" w:rsidRDefault="002513C8" w:rsidP="002513C8">
      <w:pPr>
        <w:pStyle w:val="NoSpacing"/>
        <w:rPr>
          <w:rFonts w:cs="Arial"/>
        </w:rPr>
      </w:pPr>
      <w:r w:rsidRPr="002513C8">
        <w:rPr>
          <w:rFonts w:cs="Arial"/>
        </w:rPr>
        <w:t>Clerk: Mrs S M Bashforth</w:t>
      </w:r>
    </w:p>
    <w:p w:rsidR="002513C8" w:rsidRDefault="002513C8" w:rsidP="002513C8">
      <w:pPr>
        <w:pStyle w:val="NoSpacing"/>
        <w:rPr>
          <w:rFonts w:cs="Arial"/>
        </w:rPr>
      </w:pPr>
      <w:r w:rsidRPr="002513C8">
        <w:rPr>
          <w:rFonts w:cs="Arial"/>
        </w:rPr>
        <w:t>In attendance:  Ward Cllr J Wilson, chair of NDP Group Mr T Butterworth</w:t>
      </w:r>
    </w:p>
    <w:p w:rsidR="00D51307" w:rsidRDefault="002513C8" w:rsidP="00D51307">
      <w:pPr>
        <w:pStyle w:val="NoSpacing"/>
        <w:rPr>
          <w:rFonts w:cs="Arial"/>
        </w:rPr>
      </w:pPr>
      <w:r>
        <w:rPr>
          <w:rFonts w:cs="Arial"/>
        </w:rPr>
        <w:t>Members of the Public: none</w:t>
      </w:r>
    </w:p>
    <w:p w:rsidR="00D51307" w:rsidRDefault="00D51307" w:rsidP="00D51307">
      <w:pPr>
        <w:pStyle w:val="NoSpacing"/>
        <w:rPr>
          <w:rFonts w:cs="Arial"/>
        </w:rPr>
      </w:pPr>
    </w:p>
    <w:p w:rsidR="00D51307" w:rsidRDefault="00D51307" w:rsidP="00D51307">
      <w:pPr>
        <w:pStyle w:val="NoSpacing"/>
        <w:rPr>
          <w:rFonts w:cs="Arial"/>
        </w:rPr>
      </w:pPr>
      <w:r>
        <w:rPr>
          <w:rFonts w:cs="Arial"/>
        </w:rPr>
        <w:t>Prior to the start of the meeting Cllr Kilner announced the resignation of Cllr Holliday.  Cllr Holliday was thanked for his work as a parish councillor.</w:t>
      </w:r>
    </w:p>
    <w:p w:rsidR="00D51307" w:rsidRDefault="00D51307" w:rsidP="00D51307">
      <w:pPr>
        <w:pStyle w:val="NoSpacing"/>
        <w:rPr>
          <w:rFonts w:cs="Arial"/>
        </w:rPr>
      </w:pPr>
    </w:p>
    <w:p w:rsidR="00D51307" w:rsidRDefault="00D51307" w:rsidP="00CE530D">
      <w:pPr>
        <w:pStyle w:val="Heading3"/>
      </w:pPr>
      <w:r>
        <w:t xml:space="preserve">Minute No 1. </w:t>
      </w:r>
      <w:r w:rsidR="00CE530D">
        <w:t>ADDENDUM TO STANDING ORDERS</w:t>
      </w:r>
    </w:p>
    <w:p w:rsidR="00CE530D" w:rsidRDefault="00CE530D" w:rsidP="00CE530D">
      <w:pPr>
        <w:rPr>
          <w:b/>
        </w:rPr>
      </w:pPr>
      <w:r>
        <w:t xml:space="preserve">The </w:t>
      </w:r>
      <w:r w:rsidRPr="00CE530D">
        <w:t>addendum to the Standing Orders for Cawthorne Parish Council to enable the effective management of meetings held remotely in pursuant of the Local Authorities and Police and Crime Panels (Coronavirus) (Flexibility of Local Authority and Police and Crime Panel Meetings) (England and Wales) Regulations 2020</w:t>
      </w:r>
      <w:r>
        <w:t xml:space="preserve"> were approved.</w:t>
      </w:r>
      <w:r>
        <w:tab/>
      </w:r>
      <w:r>
        <w:tab/>
      </w:r>
      <w:r>
        <w:tab/>
      </w:r>
      <w:r>
        <w:rPr>
          <w:b/>
        </w:rPr>
        <w:t>Resolved</w:t>
      </w:r>
    </w:p>
    <w:p w:rsidR="00CE530D" w:rsidRDefault="00CE530D" w:rsidP="00CE530D">
      <w:pPr>
        <w:pStyle w:val="Heading3"/>
      </w:pPr>
      <w:r>
        <w:t>Minute No 2 REASONS FOR ABSENCE</w:t>
      </w:r>
    </w:p>
    <w:p w:rsidR="00CE530D" w:rsidRDefault="00CE530D" w:rsidP="00CE530D">
      <w:pPr>
        <w:rPr>
          <w:b/>
        </w:rPr>
      </w:pPr>
      <w:r>
        <w:t>Apologies from Cllr Ellis were accepted.</w:t>
      </w:r>
      <w:r w:rsidR="000A6AA8">
        <w:tab/>
      </w:r>
      <w:r w:rsidR="000A6AA8">
        <w:tab/>
      </w:r>
      <w:r w:rsidR="000A6AA8">
        <w:tab/>
      </w:r>
      <w:r w:rsidR="000A6AA8">
        <w:tab/>
      </w:r>
      <w:r w:rsidR="000A6AA8">
        <w:tab/>
      </w:r>
      <w:r w:rsidR="000A6AA8">
        <w:tab/>
      </w:r>
      <w:r w:rsidR="000A6AA8">
        <w:rPr>
          <w:b/>
        </w:rPr>
        <w:t>Resolved</w:t>
      </w:r>
    </w:p>
    <w:p w:rsidR="000A6AA8" w:rsidRDefault="000A6AA8" w:rsidP="000A6AA8">
      <w:pPr>
        <w:pStyle w:val="Heading3"/>
      </w:pPr>
      <w:r>
        <w:t>Minute No 3 DECLARATIONS OF INTEREST</w:t>
      </w:r>
    </w:p>
    <w:p w:rsidR="000A6AA8" w:rsidRDefault="000A6AA8" w:rsidP="000A6AA8">
      <w:r>
        <w:t xml:space="preserve">None </w:t>
      </w:r>
    </w:p>
    <w:p w:rsidR="000A6AA8" w:rsidRDefault="000A6AA8" w:rsidP="000A6AA8">
      <w:pPr>
        <w:pStyle w:val="Heading3"/>
      </w:pPr>
      <w:r>
        <w:t>Minute No 4 MINUTES OF THE LAST MEETING</w:t>
      </w:r>
    </w:p>
    <w:p w:rsidR="00613159" w:rsidRDefault="00613159" w:rsidP="00613159">
      <w:pPr>
        <w:rPr>
          <w:b/>
        </w:rPr>
      </w:pPr>
      <w:r>
        <w:t>The minutes of the Meeting of the Council held on Thursday 5</w:t>
      </w:r>
      <w:r w:rsidRPr="00613159">
        <w:rPr>
          <w:vertAlign w:val="superscript"/>
        </w:rPr>
        <w:t>th</w:t>
      </w:r>
      <w:r>
        <w:t xml:space="preserve"> March 2020 were accepted as a true record. The chairman will sign the minutes at a later date.</w:t>
      </w:r>
      <w:r>
        <w:tab/>
      </w:r>
      <w:r>
        <w:tab/>
      </w:r>
      <w:r>
        <w:rPr>
          <w:b/>
        </w:rPr>
        <w:t>Resolved</w:t>
      </w:r>
    </w:p>
    <w:p w:rsidR="00613159" w:rsidRDefault="00613159" w:rsidP="00613159">
      <w:pPr>
        <w:pStyle w:val="Heading3"/>
      </w:pPr>
      <w:r>
        <w:t xml:space="preserve">Minute No 5 RATIFY DECISIONS MADE BY CLERK </w:t>
      </w:r>
    </w:p>
    <w:p w:rsidR="00613159" w:rsidRDefault="00613159" w:rsidP="00613159">
      <w:pPr>
        <w:rPr>
          <w:rFonts w:cs="Arial"/>
          <w:b/>
        </w:rPr>
      </w:pPr>
      <w:r>
        <w:rPr>
          <w:rFonts w:cs="Arial"/>
        </w:rPr>
        <w:t>The decisions made in an emergency situation by the Clerk in consultation with Members by email at the beginning of the Coronavirus lockdown: Planning applications 2020/0134, 2020/0240, 2020/0263, 2020/319, 2020/0198, 2020/0302, 2020/0327- No objections or comments were made on any of these applications. These were ratified.</w:t>
      </w:r>
      <w:r>
        <w:rPr>
          <w:rFonts w:cs="Arial"/>
        </w:rPr>
        <w:tab/>
      </w:r>
      <w:r>
        <w:rPr>
          <w:rFonts w:cs="Arial"/>
        </w:rPr>
        <w:tab/>
      </w:r>
      <w:r>
        <w:rPr>
          <w:rFonts w:cs="Arial"/>
          <w:b/>
        </w:rPr>
        <w:t>Resolved</w:t>
      </w:r>
    </w:p>
    <w:p w:rsidR="00613159" w:rsidRDefault="00613159" w:rsidP="00613159">
      <w:pPr>
        <w:pStyle w:val="Heading3"/>
      </w:pPr>
      <w:r>
        <w:t>Minute No 6 APPROVE ANNUAL GOVERNANCE STATEMENT 2019/20</w:t>
      </w:r>
    </w:p>
    <w:p w:rsidR="00613159" w:rsidRDefault="00613159" w:rsidP="00613159">
      <w:pPr>
        <w:rPr>
          <w:b/>
        </w:rPr>
      </w:pPr>
      <w:r>
        <w:t>The Annual Governance Statement for 2019/20 was approved.</w:t>
      </w:r>
      <w:r>
        <w:tab/>
      </w:r>
      <w:r>
        <w:tab/>
      </w:r>
      <w:r>
        <w:tab/>
      </w:r>
      <w:r>
        <w:rPr>
          <w:b/>
        </w:rPr>
        <w:t>Resolved</w:t>
      </w:r>
    </w:p>
    <w:p w:rsidR="00613159" w:rsidRDefault="00613159" w:rsidP="00613159">
      <w:pPr>
        <w:pStyle w:val="Heading3"/>
      </w:pPr>
      <w:r>
        <w:t>Minute No 7 APPROVE THE ACCOUNTABILITY STATEMENT 2019/20</w:t>
      </w:r>
    </w:p>
    <w:p w:rsidR="00613159" w:rsidRDefault="00613159" w:rsidP="00613159">
      <w:pPr>
        <w:rPr>
          <w:b/>
          <w:sz w:val="20"/>
        </w:rPr>
      </w:pPr>
      <w:r>
        <w:t>The accountability statement for 2019/20 was approved</w:t>
      </w:r>
      <w:r>
        <w:tab/>
      </w:r>
      <w:r>
        <w:tab/>
      </w:r>
      <w:r>
        <w:tab/>
      </w:r>
      <w:r>
        <w:tab/>
      </w:r>
      <w:r w:rsidRPr="00613159">
        <w:rPr>
          <w:b/>
          <w:sz w:val="20"/>
        </w:rPr>
        <w:t>Resolved</w:t>
      </w:r>
    </w:p>
    <w:p w:rsidR="00613159" w:rsidRDefault="00613159" w:rsidP="00613159">
      <w:pPr>
        <w:pStyle w:val="Heading3"/>
      </w:pPr>
      <w:r>
        <w:t>Minute No 8 4</w:t>
      </w:r>
      <w:r w:rsidRPr="00613159">
        <w:rPr>
          <w:vertAlign w:val="superscript"/>
        </w:rPr>
        <w:t>th</w:t>
      </w:r>
      <w:r>
        <w:t xml:space="preserve"> QUARTER FINANCIAL REVIEW</w:t>
      </w:r>
    </w:p>
    <w:p w:rsidR="00613159" w:rsidRDefault="00613159" w:rsidP="00613159">
      <w:r>
        <w:t>The Clerk presented the 4</w:t>
      </w:r>
      <w:r w:rsidRPr="00613159">
        <w:rPr>
          <w:vertAlign w:val="superscript"/>
        </w:rPr>
        <w:t>th</w:t>
      </w:r>
      <w:r w:rsidR="007F2CB9">
        <w:t xml:space="preserve"> quarter financial review.</w:t>
      </w:r>
    </w:p>
    <w:p w:rsidR="007F2CB9" w:rsidRDefault="007F2CB9" w:rsidP="007F2CB9">
      <w:pPr>
        <w:pStyle w:val="Heading3"/>
      </w:pPr>
      <w:r>
        <w:t>Minute No 9 75</w:t>
      </w:r>
      <w:r w:rsidRPr="007F2CB9">
        <w:rPr>
          <w:vertAlign w:val="superscript"/>
        </w:rPr>
        <w:t>th</w:t>
      </w:r>
      <w:r>
        <w:t xml:space="preserve"> ANNIVERSARY OF VE DAY EVENTS</w:t>
      </w:r>
    </w:p>
    <w:p w:rsidR="007F2CB9" w:rsidRDefault="007F2CB9" w:rsidP="007F2CB9">
      <w:r>
        <w:t>It was noted that the events had had to be cancelled due to the coronavirus lockdown.</w:t>
      </w:r>
    </w:p>
    <w:p w:rsidR="007F2CB9" w:rsidRDefault="007F2CB9" w:rsidP="007F2CB9">
      <w:pPr>
        <w:pStyle w:val="Heading3"/>
      </w:pPr>
      <w:r>
        <w:t>Minute No 10 NEIGHBOURHOOD PLAN</w:t>
      </w:r>
    </w:p>
    <w:p w:rsidR="007F2CB9" w:rsidRDefault="007F2CB9" w:rsidP="007F2CB9">
      <w:r>
        <w:t>Mr Butterworth gave an update. The Examiner’s comments were incorporated into the Plan.  It is now with BMBC for approval, to be submitted on 24</w:t>
      </w:r>
      <w:r w:rsidRPr="007F2CB9">
        <w:rPr>
          <w:vertAlign w:val="superscript"/>
        </w:rPr>
        <w:t>th</w:t>
      </w:r>
      <w:r>
        <w:t xml:space="preserve"> June with recommendation for approval. The next stage is then to go to referendum but due to the coronavirus there will be no elections/referendums until May 2021.  However, any NDP at referendum stage will be considered in planning applications.</w:t>
      </w:r>
    </w:p>
    <w:p w:rsidR="008769F4" w:rsidRDefault="008769F4" w:rsidP="008769F4">
      <w:pPr>
        <w:pStyle w:val="Heading3"/>
      </w:pPr>
      <w:r>
        <w:lastRenderedPageBreak/>
        <w:t>Minute No 11 FINANCIAL TRANSACTION</w:t>
      </w:r>
      <w:r w:rsidR="00BE4722">
        <w:t>S</w:t>
      </w:r>
    </w:p>
    <w:p w:rsidR="008769F4" w:rsidRDefault="00BE4722" w:rsidP="008769F4">
      <w:pPr>
        <w:pStyle w:val="NoSpacing"/>
      </w:pPr>
      <w:r>
        <w:t>The following f</w:t>
      </w:r>
      <w:r w:rsidR="008769F4">
        <w:t>inancial transactions were approved.</w:t>
      </w:r>
    </w:p>
    <w:p w:rsidR="008769F4" w:rsidRDefault="008769F4" w:rsidP="008769F4">
      <w:pPr>
        <w:pStyle w:val="NoSpacing"/>
      </w:pPr>
      <w:r>
        <w:t>The bank reconciliations to end of March 2020 and April 2020 were verified by Cllr Kilner on 18</w:t>
      </w:r>
      <w:r w:rsidRPr="008769F4">
        <w:rPr>
          <w:vertAlign w:val="superscript"/>
        </w:rPr>
        <w:t>th</w:t>
      </w:r>
      <w:r>
        <w:t xml:space="preserve"> May 2020.</w:t>
      </w:r>
    </w:p>
    <w:p w:rsidR="00B06676" w:rsidRPr="00B06676" w:rsidRDefault="00B06676" w:rsidP="00B06676">
      <w:pPr>
        <w:pStyle w:val="NoSpacing"/>
        <w:rPr>
          <w:b/>
        </w:rPr>
      </w:pPr>
      <w:r w:rsidRPr="00B06676">
        <w:rPr>
          <w:b/>
        </w:rPr>
        <w:t>Receipts between last meeting and this</w:t>
      </w:r>
    </w:p>
    <w:p w:rsidR="00B06676" w:rsidRPr="00B06676" w:rsidRDefault="00B06676" w:rsidP="00B06676">
      <w:pPr>
        <w:pStyle w:val="NoSpacing"/>
      </w:pPr>
      <w:r w:rsidRPr="00B06676">
        <w:t>Hanging Basket sponsorship</w:t>
      </w:r>
      <w:r>
        <w:tab/>
      </w:r>
      <w:r w:rsidRPr="00B06676">
        <w:t xml:space="preserve"> </w:t>
      </w:r>
      <w:r w:rsidRPr="00B06676">
        <w:tab/>
        <w:t>£848.65</w:t>
      </w:r>
    </w:p>
    <w:p w:rsidR="00B06676" w:rsidRPr="00B06676" w:rsidRDefault="00B06676" w:rsidP="00B06676">
      <w:pPr>
        <w:pStyle w:val="NoSpacing"/>
      </w:pPr>
      <w:r w:rsidRPr="00B06676">
        <w:t xml:space="preserve">Cemetery </w:t>
      </w:r>
      <w:r w:rsidRPr="00B06676">
        <w:tab/>
      </w:r>
      <w:r w:rsidRPr="00B06676">
        <w:tab/>
      </w:r>
      <w:r w:rsidRPr="00B06676">
        <w:tab/>
      </w:r>
      <w:r w:rsidRPr="00B06676">
        <w:tab/>
        <w:t>£795</w:t>
      </w:r>
    </w:p>
    <w:p w:rsidR="00B06676" w:rsidRPr="00B06676" w:rsidRDefault="00B06676" w:rsidP="00B06676">
      <w:pPr>
        <w:pStyle w:val="NoSpacing"/>
      </w:pPr>
      <w:r w:rsidRPr="00B06676">
        <w:t>Precept</w:t>
      </w:r>
      <w:r w:rsidRPr="00B06676">
        <w:tab/>
      </w:r>
      <w:r w:rsidRPr="00B06676">
        <w:tab/>
      </w:r>
      <w:r w:rsidRPr="00B06676">
        <w:tab/>
      </w:r>
      <w:r w:rsidRPr="00B06676">
        <w:tab/>
        <w:t>£21000</w:t>
      </w:r>
    </w:p>
    <w:p w:rsidR="00B06676" w:rsidRPr="00B06676" w:rsidRDefault="00B06676" w:rsidP="00B06676">
      <w:pPr>
        <w:pStyle w:val="NoSpacing"/>
        <w:rPr>
          <w:b/>
        </w:rPr>
      </w:pPr>
      <w:r w:rsidRPr="00B06676">
        <w:rPr>
          <w:b/>
        </w:rPr>
        <w:t>Payments between last meeting and this</w:t>
      </w:r>
    </w:p>
    <w:p w:rsidR="00B06676" w:rsidRPr="00B06676" w:rsidRDefault="00B06676" w:rsidP="00B06676">
      <w:pPr>
        <w:pStyle w:val="NoSpacing"/>
      </w:pPr>
      <w:r w:rsidRPr="00B06676">
        <w:t>All payments approved at the last meeting have been paid</w:t>
      </w:r>
    </w:p>
    <w:p w:rsidR="00B06676" w:rsidRPr="00B06676" w:rsidRDefault="00B06676" w:rsidP="00B06676">
      <w:pPr>
        <w:pStyle w:val="NoSpacing"/>
      </w:pPr>
      <w:r w:rsidRPr="00B06676">
        <w:t>Clerk’s salary has been paid by SO</w:t>
      </w:r>
    </w:p>
    <w:p w:rsidR="00B06676" w:rsidRPr="00B06676" w:rsidRDefault="00B06676" w:rsidP="00B06676">
      <w:pPr>
        <w:pStyle w:val="NoSpacing"/>
        <w:rPr>
          <w:b/>
        </w:rPr>
      </w:pPr>
      <w:r w:rsidRPr="00B06676">
        <w:rPr>
          <w:b/>
        </w:rPr>
        <w:t>Cheques issued, SO and DD between last meeting and this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978"/>
        <w:gridCol w:w="3666"/>
        <w:gridCol w:w="1717"/>
      </w:tblGrid>
      <w:tr w:rsidR="00B06676" w:rsidRPr="00B06676" w:rsidTr="00B06676">
        <w:trPr>
          <w:trHeight w:val="340"/>
        </w:trPr>
        <w:tc>
          <w:tcPr>
            <w:tcW w:w="2263" w:type="dxa"/>
            <w:vAlign w:val="center"/>
          </w:tcPr>
          <w:p w:rsidR="00B06676" w:rsidRPr="00B06676" w:rsidRDefault="00B06676" w:rsidP="00B06676">
            <w:pPr>
              <w:pStyle w:val="NoSpacing"/>
            </w:pPr>
            <w:r w:rsidRPr="00B06676">
              <w:t>Janet Anderson (Piglet Printers)</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Litter Pick flyers</w:t>
            </w:r>
          </w:p>
        </w:tc>
        <w:tc>
          <w:tcPr>
            <w:tcW w:w="1717" w:type="dxa"/>
            <w:vAlign w:val="center"/>
          </w:tcPr>
          <w:p w:rsidR="00B06676" w:rsidRPr="00B06676" w:rsidRDefault="00B06676" w:rsidP="00B06676">
            <w:pPr>
              <w:pStyle w:val="NoSpacing"/>
            </w:pPr>
            <w:r w:rsidRPr="00B06676">
              <w:t>10.00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ICO</w:t>
            </w:r>
          </w:p>
        </w:tc>
        <w:tc>
          <w:tcPr>
            <w:tcW w:w="978" w:type="dxa"/>
            <w:vAlign w:val="center"/>
          </w:tcPr>
          <w:p w:rsidR="00B06676" w:rsidRPr="00B06676" w:rsidRDefault="00B06676" w:rsidP="00B06676">
            <w:pPr>
              <w:pStyle w:val="NoSpacing"/>
            </w:pPr>
            <w:r w:rsidRPr="00B06676">
              <w:t>DD</w:t>
            </w:r>
          </w:p>
        </w:tc>
        <w:tc>
          <w:tcPr>
            <w:tcW w:w="3666" w:type="dxa"/>
            <w:vAlign w:val="center"/>
          </w:tcPr>
          <w:p w:rsidR="00B06676" w:rsidRPr="00B06676" w:rsidRDefault="00B06676" w:rsidP="00B06676">
            <w:pPr>
              <w:pStyle w:val="NoSpacing"/>
            </w:pPr>
            <w:r w:rsidRPr="00B06676">
              <w:t>Data Protection Fee</w:t>
            </w:r>
          </w:p>
        </w:tc>
        <w:tc>
          <w:tcPr>
            <w:tcW w:w="1717" w:type="dxa"/>
            <w:vAlign w:val="center"/>
          </w:tcPr>
          <w:p w:rsidR="00B06676" w:rsidRPr="00B06676" w:rsidRDefault="00B06676" w:rsidP="00B06676">
            <w:pPr>
              <w:pStyle w:val="NoSpacing"/>
            </w:pPr>
            <w:r w:rsidRPr="00B06676">
              <w:t>35.00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Plusnet</w:t>
            </w:r>
          </w:p>
        </w:tc>
        <w:tc>
          <w:tcPr>
            <w:tcW w:w="978" w:type="dxa"/>
            <w:vAlign w:val="center"/>
          </w:tcPr>
          <w:p w:rsidR="00B06676" w:rsidRPr="00B06676" w:rsidRDefault="00B06676" w:rsidP="00B06676">
            <w:pPr>
              <w:pStyle w:val="NoSpacing"/>
            </w:pPr>
            <w:r w:rsidRPr="00B06676">
              <w:t>DD</w:t>
            </w:r>
          </w:p>
        </w:tc>
        <w:tc>
          <w:tcPr>
            <w:tcW w:w="3666" w:type="dxa"/>
            <w:vAlign w:val="center"/>
          </w:tcPr>
          <w:p w:rsidR="00B06676" w:rsidRPr="00B06676" w:rsidRDefault="00B06676" w:rsidP="00B06676">
            <w:pPr>
              <w:pStyle w:val="NoSpacing"/>
            </w:pPr>
            <w:r w:rsidRPr="00B06676">
              <w:t>Telephone</w:t>
            </w:r>
          </w:p>
        </w:tc>
        <w:tc>
          <w:tcPr>
            <w:tcW w:w="1717" w:type="dxa"/>
            <w:vAlign w:val="center"/>
          </w:tcPr>
          <w:p w:rsidR="00B06676" w:rsidRPr="00B06676" w:rsidRDefault="00B06676" w:rsidP="00B06676">
            <w:pPr>
              <w:pStyle w:val="NoSpacing"/>
            </w:pPr>
            <w:r w:rsidRPr="00B06676">
              <w:t>27.41</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Business Stream</w:t>
            </w:r>
          </w:p>
        </w:tc>
        <w:tc>
          <w:tcPr>
            <w:tcW w:w="978" w:type="dxa"/>
            <w:vAlign w:val="center"/>
          </w:tcPr>
          <w:p w:rsidR="00B06676" w:rsidRPr="00B06676" w:rsidRDefault="00B06676" w:rsidP="00B06676">
            <w:pPr>
              <w:pStyle w:val="NoSpacing"/>
            </w:pPr>
            <w:r w:rsidRPr="00B06676">
              <w:t>DD</w:t>
            </w:r>
          </w:p>
        </w:tc>
        <w:tc>
          <w:tcPr>
            <w:tcW w:w="3666" w:type="dxa"/>
            <w:vAlign w:val="center"/>
          </w:tcPr>
          <w:p w:rsidR="00B06676" w:rsidRPr="00B06676" w:rsidRDefault="00B06676" w:rsidP="00B06676">
            <w:pPr>
              <w:pStyle w:val="NoSpacing"/>
            </w:pPr>
            <w:r w:rsidRPr="00B06676">
              <w:t>Water Charges</w:t>
            </w:r>
          </w:p>
        </w:tc>
        <w:tc>
          <w:tcPr>
            <w:tcW w:w="1717" w:type="dxa"/>
            <w:vAlign w:val="center"/>
          </w:tcPr>
          <w:p w:rsidR="00B06676" w:rsidRPr="00B06676" w:rsidRDefault="00B06676" w:rsidP="00B06676">
            <w:pPr>
              <w:pStyle w:val="NoSpacing"/>
            </w:pPr>
            <w:r w:rsidRPr="00B06676">
              <w:t>7.53</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Pro-Logic</w:t>
            </w:r>
          </w:p>
        </w:tc>
        <w:tc>
          <w:tcPr>
            <w:tcW w:w="978" w:type="dxa"/>
            <w:vAlign w:val="center"/>
          </w:tcPr>
          <w:p w:rsidR="00B06676" w:rsidRPr="00B06676" w:rsidRDefault="00B06676" w:rsidP="00B06676">
            <w:pPr>
              <w:pStyle w:val="NoSpacing"/>
            </w:pPr>
            <w:r w:rsidRPr="00B06676">
              <w:t>DD</w:t>
            </w:r>
          </w:p>
        </w:tc>
        <w:tc>
          <w:tcPr>
            <w:tcW w:w="3666" w:type="dxa"/>
            <w:vAlign w:val="center"/>
          </w:tcPr>
          <w:p w:rsidR="00B06676" w:rsidRPr="00B06676" w:rsidRDefault="00B06676" w:rsidP="00B06676">
            <w:pPr>
              <w:pStyle w:val="NoSpacing"/>
            </w:pPr>
            <w:r w:rsidRPr="00B06676">
              <w:t>Backup</w:t>
            </w:r>
          </w:p>
        </w:tc>
        <w:tc>
          <w:tcPr>
            <w:tcW w:w="1717" w:type="dxa"/>
            <w:vAlign w:val="center"/>
          </w:tcPr>
          <w:p w:rsidR="00B06676" w:rsidRPr="00B06676" w:rsidRDefault="00B06676" w:rsidP="00B06676">
            <w:pPr>
              <w:pStyle w:val="NoSpacing"/>
            </w:pPr>
            <w:r w:rsidRPr="00B06676">
              <w:t>7.25</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S M Bashforth</w:t>
            </w:r>
          </w:p>
        </w:tc>
        <w:tc>
          <w:tcPr>
            <w:tcW w:w="978" w:type="dxa"/>
            <w:vAlign w:val="center"/>
          </w:tcPr>
          <w:p w:rsidR="00B06676" w:rsidRPr="00B06676" w:rsidRDefault="00B06676" w:rsidP="00B06676">
            <w:pPr>
              <w:pStyle w:val="NoSpacing"/>
            </w:pPr>
            <w:r w:rsidRPr="00B06676">
              <w:t>SO</w:t>
            </w:r>
          </w:p>
        </w:tc>
        <w:tc>
          <w:tcPr>
            <w:tcW w:w="3666" w:type="dxa"/>
            <w:vAlign w:val="center"/>
          </w:tcPr>
          <w:p w:rsidR="00B06676" w:rsidRPr="00B06676" w:rsidRDefault="00B06676" w:rsidP="00B06676">
            <w:pPr>
              <w:pStyle w:val="NoSpacing"/>
            </w:pPr>
            <w:r w:rsidRPr="00B06676">
              <w:t>Salary April</w:t>
            </w:r>
          </w:p>
        </w:tc>
        <w:tc>
          <w:tcPr>
            <w:tcW w:w="1717" w:type="dxa"/>
            <w:vAlign w:val="center"/>
          </w:tcPr>
          <w:p w:rsidR="00B06676" w:rsidRPr="00B06676" w:rsidRDefault="00B06676" w:rsidP="00B06676">
            <w:pPr>
              <w:pStyle w:val="NoSpacing"/>
            </w:pPr>
            <w:r w:rsidRPr="00B06676">
              <w:t>746.28</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Take 2 Printers</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VE Day leaflet</w:t>
            </w:r>
          </w:p>
        </w:tc>
        <w:tc>
          <w:tcPr>
            <w:tcW w:w="1717" w:type="dxa"/>
            <w:vAlign w:val="center"/>
          </w:tcPr>
          <w:p w:rsidR="00B06676" w:rsidRPr="00B06676" w:rsidRDefault="00B06676" w:rsidP="00B06676">
            <w:pPr>
              <w:pStyle w:val="NoSpacing"/>
            </w:pPr>
            <w:r w:rsidRPr="00B06676">
              <w:t>35.00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SLCC</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Clerk’s Manual</w:t>
            </w:r>
          </w:p>
        </w:tc>
        <w:tc>
          <w:tcPr>
            <w:tcW w:w="1717" w:type="dxa"/>
            <w:vAlign w:val="center"/>
          </w:tcPr>
          <w:p w:rsidR="00B06676" w:rsidRPr="00B06676" w:rsidRDefault="00B06676" w:rsidP="00B06676">
            <w:pPr>
              <w:pStyle w:val="NoSpacing"/>
            </w:pPr>
            <w:r w:rsidRPr="00B06676">
              <w:t>47.50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T &amp; D Contractors</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 xml:space="preserve">Grass cutting 2019 </w:t>
            </w:r>
          </w:p>
        </w:tc>
        <w:tc>
          <w:tcPr>
            <w:tcW w:w="1717" w:type="dxa"/>
            <w:vAlign w:val="center"/>
          </w:tcPr>
          <w:p w:rsidR="00B06676" w:rsidRPr="00B06676" w:rsidRDefault="00B06676" w:rsidP="00B06676">
            <w:pPr>
              <w:pStyle w:val="NoSpacing"/>
            </w:pPr>
            <w:r w:rsidRPr="00B06676">
              <w:t>2824.80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Groundwork UK</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Repay unspent NDP grant</w:t>
            </w:r>
          </w:p>
        </w:tc>
        <w:tc>
          <w:tcPr>
            <w:tcW w:w="1717" w:type="dxa"/>
            <w:vAlign w:val="center"/>
          </w:tcPr>
          <w:p w:rsidR="00B06676" w:rsidRPr="00B06676" w:rsidRDefault="00B06676" w:rsidP="00B06676">
            <w:pPr>
              <w:pStyle w:val="NoSpacing"/>
            </w:pPr>
            <w:r w:rsidRPr="00B06676">
              <w:t>1800.00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SLCC</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Webinar</w:t>
            </w:r>
          </w:p>
        </w:tc>
        <w:tc>
          <w:tcPr>
            <w:tcW w:w="1717" w:type="dxa"/>
            <w:vAlign w:val="center"/>
          </w:tcPr>
          <w:p w:rsidR="00B06676" w:rsidRPr="00B06676" w:rsidRDefault="00B06676" w:rsidP="00B06676">
            <w:pPr>
              <w:pStyle w:val="NoSpacing"/>
            </w:pPr>
            <w:r w:rsidRPr="00B06676">
              <w:t>36.00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BMBC</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Waste collection</w:t>
            </w:r>
          </w:p>
        </w:tc>
        <w:tc>
          <w:tcPr>
            <w:tcW w:w="1717" w:type="dxa"/>
            <w:vAlign w:val="center"/>
          </w:tcPr>
          <w:p w:rsidR="00B06676" w:rsidRPr="00B06676" w:rsidRDefault="00B06676" w:rsidP="00B06676">
            <w:pPr>
              <w:pStyle w:val="NoSpacing"/>
            </w:pPr>
            <w:r w:rsidRPr="00B06676">
              <w:t>221.00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HMRC</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NI April</w:t>
            </w:r>
          </w:p>
        </w:tc>
        <w:tc>
          <w:tcPr>
            <w:tcW w:w="1717" w:type="dxa"/>
            <w:vAlign w:val="center"/>
          </w:tcPr>
          <w:p w:rsidR="00B06676" w:rsidRPr="00B06676" w:rsidRDefault="00B06676" w:rsidP="00B06676">
            <w:pPr>
              <w:pStyle w:val="NoSpacing"/>
            </w:pPr>
            <w:r w:rsidRPr="00B06676">
              <w:t>8.00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Plusnet</w:t>
            </w:r>
          </w:p>
        </w:tc>
        <w:tc>
          <w:tcPr>
            <w:tcW w:w="978" w:type="dxa"/>
            <w:vAlign w:val="center"/>
          </w:tcPr>
          <w:p w:rsidR="00B06676" w:rsidRPr="00B06676" w:rsidRDefault="00B06676" w:rsidP="00B06676">
            <w:pPr>
              <w:pStyle w:val="NoSpacing"/>
            </w:pPr>
            <w:r w:rsidRPr="00B06676">
              <w:t>DD</w:t>
            </w:r>
          </w:p>
        </w:tc>
        <w:tc>
          <w:tcPr>
            <w:tcW w:w="3666" w:type="dxa"/>
            <w:vAlign w:val="center"/>
          </w:tcPr>
          <w:p w:rsidR="00B06676" w:rsidRPr="00B06676" w:rsidRDefault="00B06676" w:rsidP="00B06676">
            <w:pPr>
              <w:pStyle w:val="NoSpacing"/>
            </w:pPr>
            <w:r w:rsidRPr="00B06676">
              <w:t>Telephone</w:t>
            </w:r>
          </w:p>
        </w:tc>
        <w:tc>
          <w:tcPr>
            <w:tcW w:w="1717" w:type="dxa"/>
            <w:vAlign w:val="center"/>
          </w:tcPr>
          <w:p w:rsidR="00B06676" w:rsidRPr="00B06676" w:rsidRDefault="00B06676" w:rsidP="00B06676">
            <w:pPr>
              <w:pStyle w:val="NoSpacing"/>
            </w:pPr>
            <w:r w:rsidRPr="00B06676">
              <w:t>23.94</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Pro-Logic</w:t>
            </w:r>
          </w:p>
        </w:tc>
        <w:tc>
          <w:tcPr>
            <w:tcW w:w="978" w:type="dxa"/>
            <w:vAlign w:val="center"/>
          </w:tcPr>
          <w:p w:rsidR="00B06676" w:rsidRPr="00B06676" w:rsidRDefault="00B06676" w:rsidP="00B06676">
            <w:pPr>
              <w:pStyle w:val="NoSpacing"/>
            </w:pPr>
            <w:r w:rsidRPr="00B06676">
              <w:t>DD</w:t>
            </w:r>
          </w:p>
        </w:tc>
        <w:tc>
          <w:tcPr>
            <w:tcW w:w="3666" w:type="dxa"/>
            <w:vAlign w:val="center"/>
          </w:tcPr>
          <w:p w:rsidR="00B06676" w:rsidRPr="00B06676" w:rsidRDefault="00B06676" w:rsidP="00B06676">
            <w:pPr>
              <w:pStyle w:val="NoSpacing"/>
            </w:pPr>
            <w:r w:rsidRPr="00B06676">
              <w:t>Backup</w:t>
            </w:r>
          </w:p>
        </w:tc>
        <w:tc>
          <w:tcPr>
            <w:tcW w:w="1717" w:type="dxa"/>
            <w:vAlign w:val="center"/>
          </w:tcPr>
          <w:p w:rsidR="00B06676" w:rsidRPr="00B06676" w:rsidRDefault="00B06676" w:rsidP="00B06676">
            <w:pPr>
              <w:pStyle w:val="NoSpacing"/>
            </w:pPr>
            <w:r w:rsidRPr="00B06676">
              <w:t>7.50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S M Bashforth</w:t>
            </w:r>
          </w:p>
        </w:tc>
        <w:tc>
          <w:tcPr>
            <w:tcW w:w="978" w:type="dxa"/>
            <w:vAlign w:val="center"/>
          </w:tcPr>
          <w:p w:rsidR="00B06676" w:rsidRPr="00B06676" w:rsidRDefault="00B06676" w:rsidP="00B06676">
            <w:pPr>
              <w:pStyle w:val="NoSpacing"/>
            </w:pPr>
            <w:r w:rsidRPr="00B06676">
              <w:t>SO</w:t>
            </w:r>
          </w:p>
        </w:tc>
        <w:tc>
          <w:tcPr>
            <w:tcW w:w="3666" w:type="dxa"/>
            <w:vAlign w:val="center"/>
          </w:tcPr>
          <w:p w:rsidR="00B06676" w:rsidRPr="00B06676" w:rsidRDefault="00B06676" w:rsidP="00B06676">
            <w:pPr>
              <w:pStyle w:val="NoSpacing"/>
            </w:pPr>
            <w:r w:rsidRPr="00B06676">
              <w:t>Salary May</w:t>
            </w:r>
          </w:p>
        </w:tc>
        <w:tc>
          <w:tcPr>
            <w:tcW w:w="1717" w:type="dxa"/>
            <w:vAlign w:val="center"/>
          </w:tcPr>
          <w:p w:rsidR="00B06676" w:rsidRPr="00B06676" w:rsidRDefault="00B06676" w:rsidP="00B06676">
            <w:pPr>
              <w:pStyle w:val="NoSpacing"/>
            </w:pPr>
            <w:r w:rsidRPr="00B06676">
              <w:t>803.22</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HMRC</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NI May</w:t>
            </w:r>
          </w:p>
        </w:tc>
        <w:tc>
          <w:tcPr>
            <w:tcW w:w="1717" w:type="dxa"/>
            <w:vAlign w:val="center"/>
          </w:tcPr>
          <w:p w:rsidR="00B06676" w:rsidRPr="00B06676" w:rsidRDefault="00B06676" w:rsidP="00B06676">
            <w:pPr>
              <w:pStyle w:val="NoSpacing"/>
            </w:pPr>
            <w:r w:rsidRPr="00B06676">
              <w:t>18.73</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Came &amp; Company</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Insurance</w:t>
            </w:r>
          </w:p>
        </w:tc>
        <w:tc>
          <w:tcPr>
            <w:tcW w:w="1717" w:type="dxa"/>
            <w:vAlign w:val="center"/>
          </w:tcPr>
          <w:p w:rsidR="00B06676" w:rsidRPr="00B06676" w:rsidRDefault="00B06676" w:rsidP="00B06676">
            <w:pPr>
              <w:pStyle w:val="NoSpacing"/>
            </w:pPr>
            <w:r w:rsidRPr="00B06676">
              <w:t>924.73</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YLCA</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Membership fee</w:t>
            </w:r>
          </w:p>
        </w:tc>
        <w:tc>
          <w:tcPr>
            <w:tcW w:w="1717" w:type="dxa"/>
            <w:vAlign w:val="center"/>
          </w:tcPr>
          <w:p w:rsidR="00B06676" w:rsidRPr="00B06676" w:rsidRDefault="00B06676" w:rsidP="00B06676">
            <w:pPr>
              <w:pStyle w:val="NoSpacing"/>
            </w:pPr>
            <w:r w:rsidRPr="00B06676">
              <w:t>423.00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S M Bashforth</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Underpayment of salary</w:t>
            </w:r>
          </w:p>
        </w:tc>
        <w:tc>
          <w:tcPr>
            <w:tcW w:w="1717" w:type="dxa"/>
            <w:vAlign w:val="center"/>
          </w:tcPr>
          <w:p w:rsidR="00B06676" w:rsidRPr="00B06676" w:rsidRDefault="00B06676" w:rsidP="00B06676">
            <w:pPr>
              <w:pStyle w:val="NoSpacing"/>
            </w:pPr>
            <w:r w:rsidRPr="00B06676">
              <w:t>24.42</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Vision ICT</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Accessibility Statement</w:t>
            </w:r>
          </w:p>
        </w:tc>
        <w:tc>
          <w:tcPr>
            <w:tcW w:w="1717" w:type="dxa"/>
            <w:vAlign w:val="center"/>
          </w:tcPr>
          <w:p w:rsidR="00B06676" w:rsidRPr="00B06676" w:rsidRDefault="00B06676" w:rsidP="00B06676">
            <w:pPr>
              <w:pStyle w:val="NoSpacing"/>
            </w:pPr>
            <w:r w:rsidRPr="00B06676">
              <w:t>54.00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S M Bashforth</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4</w:t>
            </w:r>
            <w:r w:rsidRPr="00B06676">
              <w:rPr>
                <w:vertAlign w:val="superscript"/>
              </w:rPr>
              <w:t>th</w:t>
            </w:r>
            <w:r w:rsidRPr="00B06676">
              <w:t xml:space="preserve"> quarter expenses</w:t>
            </w:r>
          </w:p>
        </w:tc>
        <w:tc>
          <w:tcPr>
            <w:tcW w:w="1717" w:type="dxa"/>
            <w:vAlign w:val="center"/>
          </w:tcPr>
          <w:p w:rsidR="00B06676" w:rsidRPr="00B06676" w:rsidRDefault="00B06676" w:rsidP="00B06676">
            <w:pPr>
              <w:pStyle w:val="NoSpacing"/>
            </w:pPr>
            <w:r w:rsidRPr="00B06676">
              <w:t>122.44</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Plusnet</w:t>
            </w:r>
          </w:p>
        </w:tc>
        <w:tc>
          <w:tcPr>
            <w:tcW w:w="978" w:type="dxa"/>
            <w:vAlign w:val="center"/>
          </w:tcPr>
          <w:p w:rsidR="00B06676" w:rsidRPr="00B06676" w:rsidRDefault="00B06676" w:rsidP="00B06676">
            <w:pPr>
              <w:pStyle w:val="NoSpacing"/>
            </w:pPr>
            <w:r w:rsidRPr="00B06676">
              <w:t>DD</w:t>
            </w:r>
          </w:p>
        </w:tc>
        <w:tc>
          <w:tcPr>
            <w:tcW w:w="3666" w:type="dxa"/>
            <w:vAlign w:val="center"/>
          </w:tcPr>
          <w:p w:rsidR="00B06676" w:rsidRPr="00B06676" w:rsidRDefault="00B06676" w:rsidP="00B06676">
            <w:pPr>
              <w:pStyle w:val="NoSpacing"/>
            </w:pPr>
            <w:r w:rsidRPr="00B06676">
              <w:t>Telephone</w:t>
            </w:r>
          </w:p>
        </w:tc>
        <w:tc>
          <w:tcPr>
            <w:tcW w:w="1717" w:type="dxa"/>
            <w:vAlign w:val="center"/>
          </w:tcPr>
          <w:p w:rsidR="00B06676" w:rsidRPr="00B06676" w:rsidRDefault="00B06676" w:rsidP="00B06676">
            <w:pPr>
              <w:pStyle w:val="NoSpacing"/>
            </w:pPr>
            <w:r w:rsidRPr="00B06676">
              <w:t>26.98</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Pro-Logic</w:t>
            </w:r>
          </w:p>
        </w:tc>
        <w:tc>
          <w:tcPr>
            <w:tcW w:w="978" w:type="dxa"/>
            <w:vAlign w:val="center"/>
          </w:tcPr>
          <w:p w:rsidR="00B06676" w:rsidRPr="00B06676" w:rsidRDefault="00B06676" w:rsidP="00B06676">
            <w:pPr>
              <w:pStyle w:val="NoSpacing"/>
            </w:pPr>
            <w:r w:rsidRPr="00B06676">
              <w:t>DD</w:t>
            </w:r>
          </w:p>
        </w:tc>
        <w:tc>
          <w:tcPr>
            <w:tcW w:w="3666" w:type="dxa"/>
            <w:vAlign w:val="center"/>
          </w:tcPr>
          <w:p w:rsidR="00B06676" w:rsidRPr="00B06676" w:rsidRDefault="00B06676" w:rsidP="00B06676">
            <w:pPr>
              <w:pStyle w:val="NoSpacing"/>
            </w:pPr>
            <w:r w:rsidRPr="00B06676">
              <w:t>Backup</w:t>
            </w:r>
          </w:p>
        </w:tc>
        <w:tc>
          <w:tcPr>
            <w:tcW w:w="1717" w:type="dxa"/>
            <w:vAlign w:val="center"/>
          </w:tcPr>
          <w:p w:rsidR="00B06676" w:rsidRPr="00B06676" w:rsidRDefault="00B06676" w:rsidP="00B06676">
            <w:pPr>
              <w:pStyle w:val="NoSpacing"/>
            </w:pPr>
            <w:r w:rsidRPr="00B06676">
              <w:t>7.50</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S M Bashforth</w:t>
            </w:r>
          </w:p>
        </w:tc>
        <w:tc>
          <w:tcPr>
            <w:tcW w:w="978" w:type="dxa"/>
            <w:vAlign w:val="center"/>
          </w:tcPr>
          <w:p w:rsidR="00B06676" w:rsidRPr="00B06676" w:rsidRDefault="00B06676" w:rsidP="00B06676">
            <w:pPr>
              <w:pStyle w:val="NoSpacing"/>
            </w:pPr>
            <w:r w:rsidRPr="00B06676">
              <w:t>SO</w:t>
            </w:r>
          </w:p>
        </w:tc>
        <w:tc>
          <w:tcPr>
            <w:tcW w:w="3666" w:type="dxa"/>
            <w:vAlign w:val="center"/>
          </w:tcPr>
          <w:p w:rsidR="00B06676" w:rsidRPr="00B06676" w:rsidRDefault="00B06676" w:rsidP="00B06676">
            <w:pPr>
              <w:pStyle w:val="NoSpacing"/>
            </w:pPr>
            <w:r w:rsidRPr="00B06676">
              <w:t>Salary June</w:t>
            </w:r>
          </w:p>
        </w:tc>
        <w:tc>
          <w:tcPr>
            <w:tcW w:w="1717" w:type="dxa"/>
            <w:vAlign w:val="center"/>
          </w:tcPr>
          <w:p w:rsidR="00B06676" w:rsidRPr="00B06676" w:rsidRDefault="00B06676" w:rsidP="00B06676">
            <w:pPr>
              <w:pStyle w:val="NoSpacing"/>
            </w:pPr>
            <w:r w:rsidRPr="00B06676">
              <w:t>827.64</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HMRC</w:t>
            </w:r>
          </w:p>
        </w:tc>
        <w:tc>
          <w:tcPr>
            <w:tcW w:w="978" w:type="dxa"/>
            <w:vAlign w:val="center"/>
          </w:tcPr>
          <w:p w:rsidR="00B06676" w:rsidRPr="00B06676" w:rsidRDefault="00B06676" w:rsidP="00B06676">
            <w:pPr>
              <w:pStyle w:val="NoSpacing"/>
            </w:pPr>
            <w:r w:rsidRPr="00B06676">
              <w:t>chq</w:t>
            </w:r>
          </w:p>
        </w:tc>
        <w:tc>
          <w:tcPr>
            <w:tcW w:w="3666" w:type="dxa"/>
            <w:vAlign w:val="center"/>
          </w:tcPr>
          <w:p w:rsidR="00B06676" w:rsidRPr="00B06676" w:rsidRDefault="00B06676" w:rsidP="00B06676">
            <w:pPr>
              <w:pStyle w:val="NoSpacing"/>
            </w:pPr>
            <w:r w:rsidRPr="00B06676">
              <w:t>NI June</w:t>
            </w:r>
          </w:p>
        </w:tc>
        <w:tc>
          <w:tcPr>
            <w:tcW w:w="1717" w:type="dxa"/>
            <w:vAlign w:val="center"/>
          </w:tcPr>
          <w:p w:rsidR="00B06676" w:rsidRPr="00B06676" w:rsidRDefault="00B06676" w:rsidP="00B06676">
            <w:pPr>
              <w:pStyle w:val="NoSpacing"/>
            </w:pPr>
            <w:r w:rsidRPr="00B06676">
              <w:t>18.73</w:t>
            </w:r>
          </w:p>
        </w:tc>
      </w:tr>
      <w:tr w:rsidR="00B06676" w:rsidRPr="00B06676" w:rsidTr="00B06676">
        <w:trPr>
          <w:trHeight w:val="340"/>
        </w:trPr>
        <w:tc>
          <w:tcPr>
            <w:tcW w:w="2263" w:type="dxa"/>
            <w:vAlign w:val="center"/>
          </w:tcPr>
          <w:p w:rsidR="00B06676" w:rsidRPr="00B06676" w:rsidRDefault="00B06676" w:rsidP="00B06676">
            <w:pPr>
              <w:pStyle w:val="NoSpacing"/>
            </w:pPr>
            <w:r w:rsidRPr="00B06676">
              <w:t>Business Stream</w:t>
            </w:r>
          </w:p>
        </w:tc>
        <w:tc>
          <w:tcPr>
            <w:tcW w:w="978" w:type="dxa"/>
            <w:vAlign w:val="center"/>
          </w:tcPr>
          <w:p w:rsidR="00B06676" w:rsidRPr="00B06676" w:rsidRDefault="00B06676" w:rsidP="00B06676">
            <w:pPr>
              <w:pStyle w:val="NoSpacing"/>
            </w:pPr>
            <w:r w:rsidRPr="00B06676">
              <w:t>DD</w:t>
            </w:r>
          </w:p>
        </w:tc>
        <w:tc>
          <w:tcPr>
            <w:tcW w:w="3666" w:type="dxa"/>
            <w:vAlign w:val="center"/>
          </w:tcPr>
          <w:p w:rsidR="00B06676" w:rsidRPr="00B06676" w:rsidRDefault="00B06676" w:rsidP="00B06676">
            <w:pPr>
              <w:pStyle w:val="NoSpacing"/>
            </w:pPr>
            <w:r w:rsidRPr="00B06676">
              <w:t>Water charges</w:t>
            </w:r>
          </w:p>
        </w:tc>
        <w:tc>
          <w:tcPr>
            <w:tcW w:w="1717" w:type="dxa"/>
            <w:vAlign w:val="center"/>
          </w:tcPr>
          <w:p w:rsidR="00B06676" w:rsidRPr="00B06676" w:rsidRDefault="00B06676" w:rsidP="00B06676">
            <w:pPr>
              <w:pStyle w:val="NoSpacing"/>
            </w:pPr>
            <w:r w:rsidRPr="00B06676">
              <w:t>6.12</w:t>
            </w:r>
          </w:p>
        </w:tc>
      </w:tr>
    </w:tbl>
    <w:p w:rsidR="00B06676" w:rsidRPr="00B06676" w:rsidRDefault="00B06676" w:rsidP="00B06676">
      <w:pPr>
        <w:pStyle w:val="NoSpacing"/>
        <w:rPr>
          <w:b/>
        </w:rPr>
      </w:pPr>
      <w:r w:rsidRPr="00B06676">
        <w:rPr>
          <w:b/>
        </w:rPr>
        <w:t xml:space="preserve">Invoices to be approved for payment </w:t>
      </w:r>
    </w:p>
    <w:p w:rsidR="00B06676" w:rsidRPr="00B06676" w:rsidRDefault="00B06676" w:rsidP="00B06676">
      <w:pPr>
        <w:pStyle w:val="NoSpacing"/>
      </w:pPr>
    </w:p>
    <w:tbl>
      <w:tblPr>
        <w:tblW w:w="9130" w:type="dxa"/>
        <w:tblLook w:val="04A0" w:firstRow="1" w:lastRow="0" w:firstColumn="1" w:lastColumn="0" w:noHBand="0" w:noVBand="1"/>
      </w:tblPr>
      <w:tblGrid>
        <w:gridCol w:w="2768"/>
        <w:gridCol w:w="5222"/>
        <w:gridCol w:w="1140"/>
      </w:tblGrid>
      <w:tr w:rsidR="00B06676" w:rsidRPr="00B06676" w:rsidTr="00B06676">
        <w:trPr>
          <w:trHeight w:val="340"/>
        </w:trPr>
        <w:tc>
          <w:tcPr>
            <w:tcW w:w="2768" w:type="dxa"/>
            <w:vAlign w:val="center"/>
          </w:tcPr>
          <w:p w:rsidR="00B06676" w:rsidRPr="00B06676" w:rsidRDefault="00B06676" w:rsidP="00B06676">
            <w:pPr>
              <w:pStyle w:val="NoSpacing"/>
            </w:pPr>
            <w:r w:rsidRPr="00B06676">
              <w:t>Kirkwells</w:t>
            </w:r>
          </w:p>
        </w:tc>
        <w:tc>
          <w:tcPr>
            <w:tcW w:w="5222" w:type="dxa"/>
            <w:vAlign w:val="center"/>
          </w:tcPr>
          <w:p w:rsidR="00B06676" w:rsidRPr="00B06676" w:rsidRDefault="00B06676" w:rsidP="00B06676">
            <w:pPr>
              <w:pStyle w:val="NoSpacing"/>
            </w:pPr>
            <w:r w:rsidRPr="00B06676">
              <w:t>NDP. Examination and modifications</w:t>
            </w:r>
          </w:p>
        </w:tc>
        <w:tc>
          <w:tcPr>
            <w:tcW w:w="1140" w:type="dxa"/>
            <w:vAlign w:val="center"/>
          </w:tcPr>
          <w:p w:rsidR="00B06676" w:rsidRPr="00B06676" w:rsidRDefault="00B06676" w:rsidP="00B06676">
            <w:pPr>
              <w:pStyle w:val="NoSpacing"/>
            </w:pPr>
            <w:r w:rsidRPr="00B06676">
              <w:t>720.00</w:t>
            </w:r>
          </w:p>
        </w:tc>
      </w:tr>
      <w:tr w:rsidR="00B06676" w:rsidRPr="00B06676" w:rsidTr="00B06676">
        <w:trPr>
          <w:trHeight w:val="340"/>
        </w:trPr>
        <w:tc>
          <w:tcPr>
            <w:tcW w:w="2768" w:type="dxa"/>
            <w:vAlign w:val="center"/>
          </w:tcPr>
          <w:p w:rsidR="00B06676" w:rsidRPr="00B06676" w:rsidRDefault="00B06676" w:rsidP="00B06676">
            <w:pPr>
              <w:pStyle w:val="NoSpacing"/>
            </w:pPr>
            <w:r w:rsidRPr="00B06676">
              <w:t>Sharon Pitt</w:t>
            </w:r>
          </w:p>
        </w:tc>
        <w:tc>
          <w:tcPr>
            <w:tcW w:w="5222" w:type="dxa"/>
            <w:vAlign w:val="center"/>
          </w:tcPr>
          <w:p w:rsidR="00B06676" w:rsidRPr="00B06676" w:rsidRDefault="00B06676" w:rsidP="00B06676">
            <w:pPr>
              <w:pStyle w:val="NoSpacing"/>
            </w:pPr>
            <w:r w:rsidRPr="00B06676">
              <w:t>Plants for trough</w:t>
            </w:r>
          </w:p>
        </w:tc>
        <w:tc>
          <w:tcPr>
            <w:tcW w:w="1140" w:type="dxa"/>
            <w:vAlign w:val="center"/>
          </w:tcPr>
          <w:p w:rsidR="00B06676" w:rsidRPr="00B06676" w:rsidRDefault="00B06676" w:rsidP="00B06676">
            <w:pPr>
              <w:pStyle w:val="NoSpacing"/>
            </w:pPr>
            <w:r w:rsidRPr="00B06676">
              <w:t>20.00</w:t>
            </w:r>
          </w:p>
        </w:tc>
      </w:tr>
      <w:tr w:rsidR="00B06676" w:rsidRPr="00B06676" w:rsidTr="00B06676">
        <w:trPr>
          <w:trHeight w:val="340"/>
        </w:trPr>
        <w:tc>
          <w:tcPr>
            <w:tcW w:w="2768" w:type="dxa"/>
            <w:vAlign w:val="center"/>
          </w:tcPr>
          <w:p w:rsidR="00B06676" w:rsidRPr="00B06676" w:rsidRDefault="00B06676" w:rsidP="00B06676">
            <w:pPr>
              <w:pStyle w:val="NoSpacing"/>
            </w:pPr>
            <w:r w:rsidRPr="00B06676">
              <w:lastRenderedPageBreak/>
              <w:t>Philip Ragsdale (Decorator)</w:t>
            </w:r>
          </w:p>
        </w:tc>
        <w:tc>
          <w:tcPr>
            <w:tcW w:w="5222" w:type="dxa"/>
            <w:vAlign w:val="center"/>
          </w:tcPr>
          <w:p w:rsidR="00B06676" w:rsidRPr="00B06676" w:rsidRDefault="00B06676" w:rsidP="00B06676">
            <w:pPr>
              <w:pStyle w:val="NoSpacing"/>
            </w:pPr>
            <w:r w:rsidRPr="00B06676">
              <w:t>Preparing and painting memorial seat on by-pass</w:t>
            </w:r>
          </w:p>
        </w:tc>
        <w:tc>
          <w:tcPr>
            <w:tcW w:w="1140" w:type="dxa"/>
            <w:vAlign w:val="center"/>
          </w:tcPr>
          <w:p w:rsidR="00B06676" w:rsidRPr="00B06676" w:rsidRDefault="00B06676" w:rsidP="00B06676">
            <w:pPr>
              <w:pStyle w:val="NoSpacing"/>
            </w:pPr>
            <w:r w:rsidRPr="00B06676">
              <w:t>100.00</w:t>
            </w:r>
          </w:p>
        </w:tc>
      </w:tr>
      <w:tr w:rsidR="00B06676" w:rsidRPr="00B06676" w:rsidTr="00B06676">
        <w:trPr>
          <w:trHeight w:val="340"/>
        </w:trPr>
        <w:tc>
          <w:tcPr>
            <w:tcW w:w="2768" w:type="dxa"/>
            <w:vAlign w:val="center"/>
          </w:tcPr>
          <w:p w:rsidR="00B06676" w:rsidRPr="00B06676" w:rsidRDefault="00B06676" w:rsidP="00B06676">
            <w:pPr>
              <w:pStyle w:val="NoSpacing"/>
            </w:pPr>
            <w:r w:rsidRPr="00B06676">
              <w:t>Plusnet</w:t>
            </w:r>
          </w:p>
        </w:tc>
        <w:tc>
          <w:tcPr>
            <w:tcW w:w="5222" w:type="dxa"/>
            <w:vAlign w:val="center"/>
          </w:tcPr>
          <w:p w:rsidR="00B06676" w:rsidRPr="00B06676" w:rsidRDefault="00B06676" w:rsidP="00B06676">
            <w:pPr>
              <w:pStyle w:val="NoSpacing"/>
            </w:pPr>
            <w:r w:rsidRPr="00B06676">
              <w:t>Telephone &amp; Broadband</w:t>
            </w:r>
          </w:p>
        </w:tc>
        <w:tc>
          <w:tcPr>
            <w:tcW w:w="1140" w:type="dxa"/>
            <w:vAlign w:val="center"/>
          </w:tcPr>
          <w:p w:rsidR="00B06676" w:rsidRPr="00B06676" w:rsidRDefault="00B06676" w:rsidP="00B06676">
            <w:pPr>
              <w:pStyle w:val="NoSpacing"/>
            </w:pPr>
            <w:r w:rsidRPr="00B06676">
              <w:t>26.47</w:t>
            </w:r>
          </w:p>
        </w:tc>
      </w:tr>
      <w:tr w:rsidR="00B06676" w:rsidRPr="00B06676" w:rsidTr="00B06676">
        <w:trPr>
          <w:trHeight w:val="340"/>
        </w:trPr>
        <w:tc>
          <w:tcPr>
            <w:tcW w:w="2768" w:type="dxa"/>
            <w:vAlign w:val="center"/>
          </w:tcPr>
          <w:p w:rsidR="00B06676" w:rsidRPr="00B06676" w:rsidRDefault="00B06676" w:rsidP="00B06676">
            <w:pPr>
              <w:pStyle w:val="NoSpacing"/>
            </w:pPr>
            <w:r>
              <w:t>D. Asquith</w:t>
            </w:r>
          </w:p>
        </w:tc>
        <w:tc>
          <w:tcPr>
            <w:tcW w:w="5222" w:type="dxa"/>
            <w:vAlign w:val="center"/>
          </w:tcPr>
          <w:p w:rsidR="00B06676" w:rsidRPr="00B06676" w:rsidRDefault="00B06676" w:rsidP="00B06676">
            <w:pPr>
              <w:pStyle w:val="NoSpacing"/>
            </w:pPr>
            <w:r>
              <w:t>Plants for pots in Peace Garden</w:t>
            </w:r>
          </w:p>
        </w:tc>
        <w:tc>
          <w:tcPr>
            <w:tcW w:w="1140" w:type="dxa"/>
            <w:vAlign w:val="center"/>
          </w:tcPr>
          <w:p w:rsidR="00B06676" w:rsidRPr="00B06676" w:rsidRDefault="00B06676" w:rsidP="00B06676">
            <w:pPr>
              <w:pStyle w:val="NoSpacing"/>
            </w:pPr>
            <w:r>
              <w:t>43.50</w:t>
            </w:r>
          </w:p>
        </w:tc>
      </w:tr>
      <w:tr w:rsidR="00B06676" w:rsidRPr="00B06676" w:rsidTr="00B06676">
        <w:trPr>
          <w:trHeight w:val="340"/>
        </w:trPr>
        <w:tc>
          <w:tcPr>
            <w:tcW w:w="2768" w:type="dxa"/>
            <w:vAlign w:val="center"/>
          </w:tcPr>
          <w:p w:rsidR="00B06676" w:rsidRDefault="00B06676" w:rsidP="00B06676">
            <w:pPr>
              <w:pStyle w:val="NoSpacing"/>
            </w:pPr>
            <w:r>
              <w:t>F Broadhead</w:t>
            </w:r>
          </w:p>
        </w:tc>
        <w:tc>
          <w:tcPr>
            <w:tcW w:w="5222" w:type="dxa"/>
            <w:vAlign w:val="center"/>
          </w:tcPr>
          <w:p w:rsidR="00B06676" w:rsidRDefault="00B06676" w:rsidP="00B06676">
            <w:pPr>
              <w:pStyle w:val="NoSpacing"/>
            </w:pPr>
            <w:r>
              <w:t>Plants for trough 2019 &amp; 2020</w:t>
            </w:r>
          </w:p>
        </w:tc>
        <w:tc>
          <w:tcPr>
            <w:tcW w:w="1140" w:type="dxa"/>
            <w:vAlign w:val="center"/>
          </w:tcPr>
          <w:p w:rsidR="00B06676" w:rsidRDefault="00B06676" w:rsidP="00B06676">
            <w:pPr>
              <w:pStyle w:val="NoSpacing"/>
            </w:pPr>
            <w:r>
              <w:t>34.74</w:t>
            </w:r>
          </w:p>
        </w:tc>
      </w:tr>
    </w:tbl>
    <w:p w:rsidR="008769F4" w:rsidRDefault="00B06676" w:rsidP="008769F4">
      <w:pPr>
        <w:pStyle w:val="NoSpacing"/>
        <w:rPr>
          <w:b/>
        </w:rPr>
      </w:pPr>
      <w:r>
        <w:tab/>
      </w:r>
      <w:r>
        <w:tab/>
      </w:r>
      <w:r>
        <w:tab/>
      </w:r>
      <w:r>
        <w:tab/>
      </w:r>
      <w:r>
        <w:tab/>
      </w:r>
      <w:r>
        <w:tab/>
      </w:r>
      <w:r>
        <w:tab/>
      </w:r>
      <w:r>
        <w:tab/>
      </w:r>
      <w:r>
        <w:tab/>
      </w:r>
      <w:r>
        <w:tab/>
      </w:r>
      <w:r>
        <w:tab/>
      </w:r>
      <w:r>
        <w:rPr>
          <w:b/>
        </w:rPr>
        <w:t>Resolved</w:t>
      </w:r>
    </w:p>
    <w:p w:rsidR="00B06676" w:rsidRDefault="00B06676" w:rsidP="00B06676">
      <w:pPr>
        <w:pStyle w:val="Heading3"/>
      </w:pPr>
      <w:r>
        <w:t>Minute No 12</w:t>
      </w:r>
      <w:r w:rsidR="00261ACD">
        <w:t xml:space="preserve"> ANY OTHER BUSINESS</w:t>
      </w:r>
    </w:p>
    <w:p w:rsidR="00261ACD" w:rsidRDefault="00261ACD" w:rsidP="00261ACD">
      <w:r>
        <w:t xml:space="preserve">1. Cllr Walker reported that problems of car parking at The Park had come to a head and that the Police were now involved following criminal damage to a car and verbal abuse. Berneslai Homes, Neighbourhood Police and Cannon Hall Estate were involved and Cannon Hall Park particularly. Letters sent to residents. Patrols to be set up at weekends to prevent </w:t>
      </w:r>
      <w:r w:rsidR="000730D1">
        <w:t>nuisance</w:t>
      </w:r>
      <w:bookmarkStart w:id="0" w:name="_GoBack"/>
      <w:bookmarkEnd w:id="0"/>
      <w:r>
        <w:t xml:space="preserve"> parking and spot checks during the week to see how many cars are parked. This evidence to go to Highways.</w:t>
      </w:r>
    </w:p>
    <w:p w:rsidR="00261ACD" w:rsidRDefault="00261ACD" w:rsidP="00261ACD">
      <w:r>
        <w:t xml:space="preserve">2. Cllr Wilson reported that </w:t>
      </w:r>
      <w:r w:rsidR="00834AAD">
        <w:t>an advisory board</w:t>
      </w:r>
      <w:r>
        <w:t xml:space="preserve"> has been</w:t>
      </w:r>
      <w:r w:rsidR="00834AAD">
        <w:t xml:space="preserve"> set up to look at track and trace for any local flare ups.  The government has given a lot of money to get the message out if there was a local flare-up. He is on this board and would like parish councils to have an input through him.</w:t>
      </w:r>
    </w:p>
    <w:p w:rsidR="00834AAD" w:rsidRDefault="00834AAD" w:rsidP="00261ACD">
      <w:r>
        <w:t>3. Cllr Wilson is keen to continue the meetings re traffic calming in the village as soon as permissible.</w:t>
      </w:r>
    </w:p>
    <w:p w:rsidR="00E06F2E" w:rsidRDefault="00BE4722" w:rsidP="00261ACD">
      <w:r>
        <w:t>4. Mr</w:t>
      </w:r>
      <w:r w:rsidR="00E06F2E">
        <w:t xml:space="preserve"> Butterworth raised the point that there are numerous comments on the Cawthorne </w:t>
      </w:r>
      <w:r>
        <w:t>Facebook page regarding</w:t>
      </w:r>
      <w:r w:rsidR="00E06F2E">
        <w:t xml:space="preserve"> the No Cycling signs that have gone up in Cannon Hall Park and that the Parish Council ought to make comment.</w:t>
      </w:r>
    </w:p>
    <w:p w:rsidR="00E9125C" w:rsidRDefault="00E9125C" w:rsidP="00E9125C">
      <w:pPr>
        <w:pStyle w:val="Heading3"/>
      </w:pPr>
      <w:r>
        <w:t>Minute No 13 ANNUAL MEETING OF THE PARISH AND ANNUAL MEETING OF TH</w:t>
      </w:r>
      <w:r w:rsidR="00BE4722">
        <w:t>E</w:t>
      </w:r>
      <w:r>
        <w:t xml:space="preserve"> COUNCIL</w:t>
      </w:r>
    </w:p>
    <w:p w:rsidR="00E9125C" w:rsidRDefault="00E9125C" w:rsidP="00E9125C">
      <w:pPr>
        <w:rPr>
          <w:rFonts w:cs="Arial"/>
        </w:rPr>
      </w:pPr>
      <w:r>
        <w:rPr>
          <w:rFonts w:cs="Arial"/>
        </w:rPr>
        <w:t>It was noted that</w:t>
      </w:r>
      <w:r w:rsidRPr="0061438D">
        <w:rPr>
          <w:rFonts w:cs="Arial"/>
        </w:rPr>
        <w:t xml:space="preserve"> due to the coronavirus lockdown the 2020 Annual Meeting of the Parish and the 2020 Annual Meeting if the Council will not take place in pu</w:t>
      </w:r>
      <w:r>
        <w:rPr>
          <w:rFonts w:cs="Arial"/>
        </w:rPr>
        <w:t>r</w:t>
      </w:r>
      <w:r w:rsidRPr="0061438D">
        <w:rPr>
          <w:rFonts w:cs="Arial"/>
        </w:rPr>
        <w:t>suant of the Local Authorities and Police and Crime Panels (Coronavirus) (</w:t>
      </w:r>
      <w:r>
        <w:rPr>
          <w:rFonts w:cs="Arial"/>
        </w:rPr>
        <w:t>F</w:t>
      </w:r>
      <w:r w:rsidRPr="0061438D">
        <w:rPr>
          <w:rFonts w:cs="Arial"/>
        </w:rPr>
        <w:t>lexibility of Local Authority and Police and Crime Panel Meetings) (Engl</w:t>
      </w:r>
      <w:r>
        <w:rPr>
          <w:rFonts w:cs="Arial"/>
        </w:rPr>
        <w:t>and and Wales) Regulations 2020 and that the chairman, committees and representatives on external bodies remain as for 2019/20 until the Annual Meeting of the Council May 2021.</w:t>
      </w:r>
    </w:p>
    <w:p w:rsidR="00E9125C" w:rsidRDefault="00E9125C" w:rsidP="00E9125C">
      <w:pPr>
        <w:pStyle w:val="Heading3"/>
      </w:pPr>
      <w:r>
        <w:t>Minute No 14 DATE OF NEXT MEETING</w:t>
      </w:r>
    </w:p>
    <w:p w:rsidR="00E9125C" w:rsidRDefault="00E9125C" w:rsidP="00E9125C">
      <w:r>
        <w:t>It was agreed that the next meeting be on Thursday 2</w:t>
      </w:r>
      <w:r w:rsidRPr="00E9125C">
        <w:rPr>
          <w:vertAlign w:val="superscript"/>
        </w:rPr>
        <w:t>nd</w:t>
      </w:r>
      <w:r>
        <w:t xml:space="preserve"> July 2020.  This will be another virtual meeting via Zoom.</w:t>
      </w:r>
    </w:p>
    <w:p w:rsidR="00E9125C" w:rsidRDefault="00E9125C" w:rsidP="00E9125C"/>
    <w:p w:rsidR="00E9125C" w:rsidRPr="00E9125C" w:rsidRDefault="00E9125C" w:rsidP="00E9125C">
      <w:pPr>
        <w:spacing w:line="240" w:lineRule="auto"/>
        <w:rPr>
          <w:rFonts w:eastAsia="Times New Roman" w:cs="Times New Roman"/>
          <w:szCs w:val="24"/>
        </w:rPr>
      </w:pPr>
      <w:r w:rsidRPr="00E9125C">
        <w:rPr>
          <w:rFonts w:eastAsia="Times New Roman" w:cs="Times New Roman"/>
          <w:szCs w:val="24"/>
        </w:rPr>
        <w:t>There being no further business the Chairman thanked all for attending and closed the meeting.</w:t>
      </w:r>
    </w:p>
    <w:p w:rsidR="00E9125C" w:rsidRPr="00E9125C" w:rsidRDefault="00E9125C" w:rsidP="00E9125C"/>
    <w:sectPr w:rsidR="00E9125C" w:rsidRPr="00E9125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14B" w:rsidRDefault="00B6414B" w:rsidP="0060746F">
      <w:pPr>
        <w:spacing w:line="240" w:lineRule="auto"/>
      </w:pPr>
      <w:r>
        <w:separator/>
      </w:r>
    </w:p>
  </w:endnote>
  <w:endnote w:type="continuationSeparator" w:id="0">
    <w:p w:rsidR="00B6414B" w:rsidRDefault="00B6414B" w:rsidP="00607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46F" w:rsidRDefault="006074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227272"/>
      <w:docPartObj>
        <w:docPartGallery w:val="Page Numbers (Bottom of Page)"/>
        <w:docPartUnique/>
      </w:docPartObj>
    </w:sdtPr>
    <w:sdtEndPr>
      <w:rPr>
        <w:noProof/>
      </w:rPr>
    </w:sdtEndPr>
    <w:sdtContent>
      <w:p w:rsidR="0060746F" w:rsidRDefault="0060746F">
        <w:pPr>
          <w:pStyle w:val="Footer"/>
          <w:jc w:val="right"/>
        </w:pPr>
        <w:r>
          <w:fldChar w:fldCharType="begin"/>
        </w:r>
        <w:r>
          <w:instrText xml:space="preserve"> PAGE   \* MERGEFORMAT </w:instrText>
        </w:r>
        <w:r>
          <w:fldChar w:fldCharType="separate"/>
        </w:r>
        <w:r w:rsidR="000730D1">
          <w:rPr>
            <w:noProof/>
          </w:rPr>
          <w:t>3</w:t>
        </w:r>
        <w:r>
          <w:rPr>
            <w:noProof/>
          </w:rPr>
          <w:fldChar w:fldCharType="end"/>
        </w:r>
      </w:p>
    </w:sdtContent>
  </w:sdt>
  <w:p w:rsidR="0060746F" w:rsidRPr="0060746F" w:rsidRDefault="0060746F" w:rsidP="0060746F">
    <w:pPr>
      <w:tabs>
        <w:tab w:val="center" w:pos="4513"/>
        <w:tab w:val="right" w:pos="9026"/>
      </w:tabs>
      <w:spacing w:line="240" w:lineRule="auto"/>
      <w:rPr>
        <w:rFonts w:eastAsia="Times New Roman" w:cs="Times New Roman"/>
        <w:szCs w:val="24"/>
      </w:rPr>
    </w:pPr>
    <w:r w:rsidRPr="0060746F">
      <w:rPr>
        <w:rFonts w:eastAsia="Times New Roman" w:cs="Times New Roman"/>
        <w:szCs w:val="24"/>
      </w:rPr>
      <w:t xml:space="preserve">Minutes of Cawthorne Parish Council meeting </w:t>
    </w:r>
    <w:r>
      <w:rPr>
        <w:rFonts w:eastAsia="Times New Roman" w:cs="Times New Roman"/>
        <w:szCs w:val="24"/>
      </w:rPr>
      <w:t>18</w:t>
    </w:r>
    <w:r w:rsidRPr="0060746F">
      <w:rPr>
        <w:rFonts w:eastAsia="Times New Roman" w:cs="Times New Roman"/>
        <w:szCs w:val="24"/>
        <w:vertAlign w:val="superscript"/>
      </w:rPr>
      <w:t>th</w:t>
    </w:r>
    <w:r>
      <w:rPr>
        <w:rFonts w:eastAsia="Times New Roman" w:cs="Times New Roman"/>
        <w:szCs w:val="24"/>
      </w:rPr>
      <w:t xml:space="preserve"> June</w:t>
    </w:r>
    <w:r w:rsidRPr="0060746F">
      <w:rPr>
        <w:rFonts w:eastAsia="Times New Roman" w:cs="Times New Roman"/>
        <w:szCs w:val="24"/>
      </w:rPr>
      <w:t xml:space="preserve">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46F" w:rsidRDefault="00607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14B" w:rsidRDefault="00B6414B" w:rsidP="0060746F">
      <w:pPr>
        <w:spacing w:line="240" w:lineRule="auto"/>
      </w:pPr>
      <w:r>
        <w:separator/>
      </w:r>
    </w:p>
  </w:footnote>
  <w:footnote w:type="continuationSeparator" w:id="0">
    <w:p w:rsidR="00B6414B" w:rsidRDefault="00B6414B" w:rsidP="006074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46F" w:rsidRDefault="006074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46F" w:rsidRDefault="006074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46F" w:rsidRDefault="006074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C8"/>
    <w:rsid w:val="000730D1"/>
    <w:rsid w:val="000A6AA8"/>
    <w:rsid w:val="00112EDD"/>
    <w:rsid w:val="002513C8"/>
    <w:rsid w:val="00261ACD"/>
    <w:rsid w:val="002C5BDC"/>
    <w:rsid w:val="00463E5E"/>
    <w:rsid w:val="0060746F"/>
    <w:rsid w:val="00613159"/>
    <w:rsid w:val="007270BF"/>
    <w:rsid w:val="007F2CB9"/>
    <w:rsid w:val="00834AAD"/>
    <w:rsid w:val="008769F4"/>
    <w:rsid w:val="008D5973"/>
    <w:rsid w:val="00A633EB"/>
    <w:rsid w:val="00A678BC"/>
    <w:rsid w:val="00B06676"/>
    <w:rsid w:val="00B6414B"/>
    <w:rsid w:val="00BE4722"/>
    <w:rsid w:val="00C55386"/>
    <w:rsid w:val="00CA57D1"/>
    <w:rsid w:val="00CE530D"/>
    <w:rsid w:val="00D009F0"/>
    <w:rsid w:val="00D51307"/>
    <w:rsid w:val="00E06F2E"/>
    <w:rsid w:val="00E91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48743-FBC7-40BC-9EF7-1EEF3862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ACD"/>
    <w:pPr>
      <w:spacing w:after="0"/>
    </w:pPr>
    <w:rPr>
      <w:rFonts w:ascii="Arial" w:hAnsi="Arial"/>
    </w:rPr>
  </w:style>
  <w:style w:type="paragraph" w:styleId="Heading1">
    <w:name w:val="heading 1"/>
    <w:basedOn w:val="Normal"/>
    <w:next w:val="Normal"/>
    <w:link w:val="Heading1Char"/>
    <w:autoRedefine/>
    <w:uiPriority w:val="9"/>
    <w:qFormat/>
    <w:rsid w:val="00463E5E"/>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2513C8"/>
    <w:pPr>
      <w:keepNext/>
      <w:keepLines/>
      <w:spacing w:before="40" w:line="240" w:lineRule="auto"/>
      <w:jc w:val="center"/>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CA57D1"/>
    <w:pPr>
      <w:keepNext/>
      <w:keepLines/>
      <w:spacing w:before="120" w:line="240" w:lineRule="auto"/>
      <w:outlineLvl w:val="2"/>
    </w:pPr>
    <w:rPr>
      <w:rFonts w:eastAsiaTheme="majorEastAsia"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E5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513C8"/>
    <w:rPr>
      <w:rFonts w:ascii="Arial" w:eastAsiaTheme="majorEastAsia" w:hAnsi="Arial" w:cstheme="majorBidi"/>
      <w:b/>
      <w:sz w:val="24"/>
      <w:szCs w:val="26"/>
      <w:u w:val="single"/>
    </w:rPr>
  </w:style>
  <w:style w:type="character" w:customStyle="1" w:styleId="Heading3Char">
    <w:name w:val="Heading 3 Char"/>
    <w:basedOn w:val="DefaultParagraphFont"/>
    <w:link w:val="Heading3"/>
    <w:uiPriority w:val="9"/>
    <w:rsid w:val="00CA57D1"/>
    <w:rPr>
      <w:rFonts w:ascii="Arial" w:eastAsiaTheme="majorEastAsia" w:hAnsi="Arial" w:cstheme="majorBidi"/>
      <w:b/>
      <w:szCs w:val="24"/>
      <w:u w:val="single"/>
    </w:rPr>
  </w:style>
  <w:style w:type="paragraph" w:styleId="NoSpacing">
    <w:name w:val="No Spacing"/>
    <w:uiPriority w:val="1"/>
    <w:qFormat/>
    <w:rsid w:val="008769F4"/>
    <w:pPr>
      <w:spacing w:after="0" w:line="240" w:lineRule="auto"/>
    </w:pPr>
    <w:rPr>
      <w:rFonts w:ascii="Arial" w:hAnsi="Arial"/>
    </w:rPr>
  </w:style>
  <w:style w:type="table" w:styleId="TableGrid">
    <w:name w:val="Table Grid"/>
    <w:basedOn w:val="TableNormal"/>
    <w:uiPriority w:val="39"/>
    <w:rsid w:val="00B06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46F"/>
    <w:pPr>
      <w:tabs>
        <w:tab w:val="center" w:pos="4513"/>
        <w:tab w:val="right" w:pos="9026"/>
      </w:tabs>
      <w:spacing w:line="240" w:lineRule="auto"/>
    </w:pPr>
  </w:style>
  <w:style w:type="character" w:customStyle="1" w:styleId="HeaderChar">
    <w:name w:val="Header Char"/>
    <w:basedOn w:val="DefaultParagraphFont"/>
    <w:link w:val="Header"/>
    <w:uiPriority w:val="99"/>
    <w:rsid w:val="0060746F"/>
    <w:rPr>
      <w:rFonts w:ascii="Arial" w:hAnsi="Arial"/>
    </w:rPr>
  </w:style>
  <w:style w:type="paragraph" w:styleId="Footer">
    <w:name w:val="footer"/>
    <w:basedOn w:val="Normal"/>
    <w:link w:val="FooterChar"/>
    <w:uiPriority w:val="99"/>
    <w:unhideWhenUsed/>
    <w:rsid w:val="0060746F"/>
    <w:pPr>
      <w:tabs>
        <w:tab w:val="center" w:pos="4513"/>
        <w:tab w:val="right" w:pos="9026"/>
      </w:tabs>
      <w:spacing w:line="240" w:lineRule="auto"/>
    </w:pPr>
  </w:style>
  <w:style w:type="character" w:customStyle="1" w:styleId="FooterChar">
    <w:name w:val="Footer Char"/>
    <w:basedOn w:val="DefaultParagraphFont"/>
    <w:link w:val="Footer"/>
    <w:uiPriority w:val="99"/>
    <w:rsid w:val="0060746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6</cp:revision>
  <dcterms:created xsi:type="dcterms:W3CDTF">2020-06-19T10:37:00Z</dcterms:created>
  <dcterms:modified xsi:type="dcterms:W3CDTF">2020-06-22T12:30:00Z</dcterms:modified>
</cp:coreProperties>
</file>