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6F" w:rsidRPr="001105F8" w:rsidRDefault="0064416F" w:rsidP="0064416F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1105F8">
        <w:rPr>
          <w:b/>
          <w:color w:val="000000" w:themeColor="text1"/>
          <w:sz w:val="28"/>
          <w:szCs w:val="28"/>
          <w:u w:val="single"/>
        </w:rPr>
        <w:t>CAWTHORNE PARISH COUNCIL</w:t>
      </w:r>
    </w:p>
    <w:p w:rsidR="0064416F" w:rsidRPr="001105F8" w:rsidRDefault="0064416F" w:rsidP="0064416F">
      <w:pPr>
        <w:jc w:val="center"/>
        <w:rPr>
          <w:b/>
          <w:color w:val="000000" w:themeColor="text1"/>
          <w:sz w:val="28"/>
          <w:szCs w:val="28"/>
        </w:rPr>
      </w:pPr>
      <w:r w:rsidRPr="001105F8">
        <w:rPr>
          <w:b/>
          <w:color w:val="000000" w:themeColor="text1"/>
          <w:sz w:val="28"/>
          <w:szCs w:val="28"/>
        </w:rPr>
        <w:t>CAWTHORNE PARISH NEIGHBOURHOOD PLAN</w:t>
      </w:r>
    </w:p>
    <w:p w:rsidR="0064416F" w:rsidRPr="001105F8" w:rsidRDefault="0064416F" w:rsidP="001105F8">
      <w:pPr>
        <w:jc w:val="center"/>
        <w:rPr>
          <w:b/>
          <w:color w:val="000000" w:themeColor="text1"/>
          <w:sz w:val="28"/>
          <w:szCs w:val="28"/>
        </w:rPr>
      </w:pPr>
      <w:r w:rsidRPr="001105F8">
        <w:rPr>
          <w:b/>
          <w:color w:val="000000" w:themeColor="text1"/>
          <w:sz w:val="28"/>
          <w:szCs w:val="28"/>
        </w:rPr>
        <w:t>Neighbourhood Area Application</w:t>
      </w:r>
      <w:r w:rsidR="001105F8" w:rsidRPr="001105F8">
        <w:rPr>
          <w:b/>
          <w:color w:val="000000" w:themeColor="text1"/>
          <w:sz w:val="28"/>
          <w:szCs w:val="28"/>
        </w:rPr>
        <w:t xml:space="preserve"> </w:t>
      </w:r>
      <w:r w:rsidRPr="001105F8">
        <w:rPr>
          <w:b/>
          <w:color w:val="000000" w:themeColor="text1"/>
          <w:sz w:val="28"/>
          <w:szCs w:val="28"/>
        </w:rPr>
        <w:t>April 2017</w:t>
      </w:r>
    </w:p>
    <w:p w:rsidR="0064416F" w:rsidRDefault="0064416F" w:rsidP="0064416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Introduction</w:t>
      </w:r>
    </w:p>
    <w:p w:rsidR="0064416F" w:rsidRDefault="0064416F" w:rsidP="006441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LOCALISM ACT 2011 (SCHEDULE 9) AND TOWN AND COUNTRY PLANNING ACT 1990 (SECTIONS 61G)</w:t>
      </w:r>
    </w:p>
    <w:p w:rsidR="0064416F" w:rsidRDefault="0064416F" w:rsidP="006441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NEIGHBOURHOOD PLANNING (GENERAL) REGULATIONS 2012</w:t>
      </w:r>
    </w:p>
    <w:p w:rsidR="0064416F" w:rsidRDefault="0064416F" w:rsidP="006441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Cawthorne Parish Council as a “relevant body” hereby formally submits an application to Barnsley Metropolitan Borough Council as the local planning authority for the designation of a Neighbourhood Area pursuant to the preparation of </w:t>
      </w:r>
      <w:r w:rsidR="00CD23AA">
        <w:rPr>
          <w:color w:val="000000" w:themeColor="text1"/>
          <w:sz w:val="24"/>
          <w:szCs w:val="24"/>
        </w:rPr>
        <w:t>a Neighbourhood Development Plan (NDP).</w:t>
      </w:r>
    </w:p>
    <w:p w:rsidR="00CD23AA" w:rsidRDefault="00CD23AA" w:rsidP="0064416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Background</w:t>
      </w:r>
    </w:p>
    <w:p w:rsidR="00CD23AA" w:rsidRDefault="00C429F5" w:rsidP="006441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 the 2</w:t>
      </w:r>
      <w:r w:rsidRPr="00C429F5">
        <w:rPr>
          <w:color w:val="000000" w:themeColor="text1"/>
          <w:sz w:val="24"/>
          <w:szCs w:val="24"/>
          <w:vertAlign w:val="superscript"/>
        </w:rPr>
        <w:t>nd</w:t>
      </w:r>
      <w:r>
        <w:rPr>
          <w:color w:val="000000" w:themeColor="text1"/>
          <w:sz w:val="24"/>
          <w:szCs w:val="24"/>
        </w:rPr>
        <w:t xml:space="preserve"> February 2017 Cawthorne Parish Council at its full Council meeting passed a motion to instigate proceedings to establish a Neighbourhood Planning Group to lead on the formulation of a NDP for the Parish of Cawthorne (minute 181). An application is hereby submitted under Regulation 5 of the Neighbourhood Planning (General) Regulations 2012.</w:t>
      </w:r>
    </w:p>
    <w:p w:rsidR="00C429F5" w:rsidRDefault="00C429F5" w:rsidP="006441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designation of the Neighbourhood Area</w:t>
      </w:r>
      <w:r w:rsidR="004731F1">
        <w:rPr>
          <w:color w:val="000000" w:themeColor="text1"/>
          <w:sz w:val="24"/>
          <w:szCs w:val="24"/>
        </w:rPr>
        <w:t xml:space="preserve"> (NA)</w:t>
      </w:r>
      <w:r>
        <w:rPr>
          <w:color w:val="000000" w:themeColor="text1"/>
          <w:sz w:val="24"/>
          <w:szCs w:val="24"/>
        </w:rPr>
        <w:t xml:space="preserve"> is seen as the first formal step in the process of producing the NDP. Regulation 5 requires the submission of the following documents as part of the application:</w:t>
      </w:r>
    </w:p>
    <w:p w:rsidR="00C429F5" w:rsidRDefault="00C429F5" w:rsidP="00C429F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map which identifies the area to which the application relates;</w:t>
      </w:r>
    </w:p>
    <w:p w:rsidR="00C429F5" w:rsidRDefault="00C429F5" w:rsidP="00C429F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statement explaining why the area is appropriate to be designated as a Neighbourhood Area; and</w:t>
      </w:r>
    </w:p>
    <w:p w:rsidR="00A5659C" w:rsidRDefault="00C429F5" w:rsidP="00C429F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statement that the organisation</w:t>
      </w:r>
      <w:r w:rsidR="00A5659C">
        <w:rPr>
          <w:color w:val="000000" w:themeColor="text1"/>
          <w:sz w:val="24"/>
          <w:szCs w:val="24"/>
        </w:rPr>
        <w:t xml:space="preserve"> or body making the area application is a relevant body for purposes of section 61Gof the Town and Country Planning Act 1990 (as amended).</w:t>
      </w:r>
    </w:p>
    <w:p w:rsidR="00A5659C" w:rsidRDefault="00A5659C" w:rsidP="00A5659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Neighbourhood Area Map</w:t>
      </w:r>
    </w:p>
    <w:p w:rsidR="00A5659C" w:rsidRDefault="00A5659C" w:rsidP="00A5659C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map is attached showing the area to which this application relates. </w:t>
      </w:r>
    </w:p>
    <w:p w:rsidR="00A5659C" w:rsidRDefault="00A5659C" w:rsidP="00A5659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Justification for Designation</w:t>
      </w:r>
    </w:p>
    <w:p w:rsidR="00C429F5" w:rsidRPr="004731F1" w:rsidRDefault="004731F1" w:rsidP="004731F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731F1">
        <w:rPr>
          <w:color w:val="000000" w:themeColor="text1"/>
          <w:sz w:val="24"/>
          <w:szCs w:val="24"/>
        </w:rPr>
        <w:t>The proposed area covers the administrative boundary of Cawthorne Parish Council. There are no known overlaps with other relevant bodies promoting</w:t>
      </w:r>
      <w:r w:rsidR="00A5659C" w:rsidRPr="004731F1">
        <w:rPr>
          <w:color w:val="000000" w:themeColor="text1"/>
          <w:sz w:val="24"/>
          <w:szCs w:val="24"/>
        </w:rPr>
        <w:t xml:space="preserve"> </w:t>
      </w:r>
      <w:r w:rsidRPr="004731F1">
        <w:rPr>
          <w:color w:val="000000" w:themeColor="text1"/>
          <w:sz w:val="24"/>
          <w:szCs w:val="24"/>
        </w:rPr>
        <w:t>other NA’s.</w:t>
      </w:r>
    </w:p>
    <w:p w:rsidR="004731F1" w:rsidRDefault="004731F1" w:rsidP="004731F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731F1">
        <w:rPr>
          <w:color w:val="000000" w:themeColor="text1"/>
          <w:sz w:val="24"/>
          <w:szCs w:val="24"/>
        </w:rPr>
        <w:t>The Parish Council wish to give local people more say in the future planning of the area and reflects the needs and priorities of local people.</w:t>
      </w:r>
    </w:p>
    <w:p w:rsidR="004731F1" w:rsidRDefault="004731F1" w:rsidP="004731F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To support the strategic needs set out in the local plan.</w:t>
      </w:r>
    </w:p>
    <w:p w:rsidR="004731F1" w:rsidRDefault="004731F1" w:rsidP="004731F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proofErr w:type="gramStart"/>
      <w:r>
        <w:rPr>
          <w:color w:val="000000" w:themeColor="text1"/>
          <w:sz w:val="24"/>
          <w:szCs w:val="24"/>
        </w:rPr>
        <w:t>need to protect, manage</w:t>
      </w:r>
      <w:proofErr w:type="gramEnd"/>
      <w:r>
        <w:rPr>
          <w:color w:val="000000" w:themeColor="text1"/>
          <w:sz w:val="24"/>
          <w:szCs w:val="24"/>
        </w:rPr>
        <w:t>, and enhance the conservation area</w:t>
      </w:r>
      <w:r w:rsidR="00C43A66">
        <w:rPr>
          <w:color w:val="000000" w:themeColor="text1"/>
          <w:sz w:val="24"/>
          <w:szCs w:val="24"/>
        </w:rPr>
        <w:t xml:space="preserve"> and the quality of the surrounding rural landscape.</w:t>
      </w:r>
    </w:p>
    <w:p w:rsidR="00C43A66" w:rsidRDefault="00C43A66" w:rsidP="004731F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enhance the quality of life of </w:t>
      </w:r>
      <w:r w:rsidR="00280098">
        <w:rPr>
          <w:color w:val="000000" w:themeColor="text1"/>
          <w:sz w:val="24"/>
          <w:szCs w:val="24"/>
        </w:rPr>
        <w:t>parishioners</w:t>
      </w:r>
      <w:r>
        <w:rPr>
          <w:color w:val="000000" w:themeColor="text1"/>
          <w:sz w:val="24"/>
          <w:szCs w:val="24"/>
        </w:rPr>
        <w:t>.</w:t>
      </w:r>
    </w:p>
    <w:p w:rsidR="00C43A66" w:rsidRDefault="00C43A66" w:rsidP="00C43A6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Elements for Consideration</w:t>
      </w:r>
    </w:p>
    <w:p w:rsidR="00C43A66" w:rsidRDefault="00C43A66" w:rsidP="00C43A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plan will seek to look at some or all of the following:</w:t>
      </w:r>
    </w:p>
    <w:p w:rsidR="00C43A66" w:rsidRDefault="00280098" w:rsidP="00C43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Housing design, including updating the Village Design Guide</w:t>
      </w:r>
      <w:r w:rsidR="00C43A66">
        <w:rPr>
          <w:color w:val="000000" w:themeColor="text1"/>
          <w:sz w:val="24"/>
          <w:szCs w:val="24"/>
        </w:rPr>
        <w:t>.</w:t>
      </w:r>
    </w:p>
    <w:p w:rsidR="00280098" w:rsidRDefault="00280098" w:rsidP="00C43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Housing type and mix.</w:t>
      </w:r>
    </w:p>
    <w:p w:rsidR="00C43A66" w:rsidRDefault="00C43A66" w:rsidP="00C43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Infrastructure including parking</w:t>
      </w:r>
      <w:r w:rsidR="00280098">
        <w:rPr>
          <w:color w:val="000000" w:themeColor="text1"/>
          <w:sz w:val="24"/>
          <w:szCs w:val="24"/>
        </w:rPr>
        <w:t>, and transport.</w:t>
      </w:r>
    </w:p>
    <w:p w:rsidR="00C43A66" w:rsidRDefault="00C43A66" w:rsidP="00C43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Historic buildings</w:t>
      </w:r>
      <w:r w:rsidR="00280098">
        <w:rPr>
          <w:color w:val="000000" w:themeColor="text1"/>
          <w:sz w:val="24"/>
          <w:szCs w:val="24"/>
        </w:rPr>
        <w:t>.</w:t>
      </w:r>
    </w:p>
    <w:p w:rsidR="00C43A66" w:rsidRDefault="00C43A66" w:rsidP="00C43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Landscape</w:t>
      </w:r>
      <w:r w:rsidR="00280098">
        <w:rPr>
          <w:color w:val="000000" w:themeColor="text1"/>
          <w:sz w:val="24"/>
          <w:szCs w:val="24"/>
        </w:rPr>
        <w:t>, Green Belt.</w:t>
      </w:r>
    </w:p>
    <w:p w:rsidR="00C43A66" w:rsidRDefault="00280098" w:rsidP="00C43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Sport and recreation.</w:t>
      </w:r>
    </w:p>
    <w:p w:rsidR="00280098" w:rsidRDefault="00280098" w:rsidP="00C43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Protection of existing employment uses.</w:t>
      </w:r>
    </w:p>
    <w:p w:rsidR="00280098" w:rsidRDefault="00280098" w:rsidP="00C43A66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Policy for the development of small employment uses and homeworking.</w:t>
      </w:r>
    </w:p>
    <w:p w:rsidR="00280098" w:rsidRDefault="00280098" w:rsidP="0028009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Statement in relation to the “Relevant Body”</w:t>
      </w:r>
    </w:p>
    <w:p w:rsidR="00280098" w:rsidRDefault="00280098" w:rsidP="002800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application for designation is submitted by Cawthorne Parish Council which is considered to be a relevant body under the terms of section 61G (2a) of the Town and Country Planning Act 1990.</w:t>
      </w:r>
    </w:p>
    <w:p w:rsidR="00280098" w:rsidRDefault="00280098" w:rsidP="0028009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Conclusion</w:t>
      </w:r>
    </w:p>
    <w:p w:rsidR="003C46BA" w:rsidRDefault="00280098" w:rsidP="00280098">
      <w:pPr>
        <w:rPr>
          <w:color w:val="000000" w:themeColor="text1"/>
          <w:sz w:val="24"/>
          <w:szCs w:val="24"/>
        </w:rPr>
      </w:pPr>
      <w:r w:rsidRPr="00280098">
        <w:rPr>
          <w:color w:val="000000" w:themeColor="text1"/>
          <w:sz w:val="24"/>
          <w:szCs w:val="24"/>
        </w:rPr>
        <w:t>For the reasons outlined above,</w:t>
      </w:r>
      <w:r>
        <w:rPr>
          <w:color w:val="000000" w:themeColor="text1"/>
          <w:sz w:val="24"/>
          <w:szCs w:val="24"/>
        </w:rPr>
        <w:t xml:space="preserve"> the proposed neighbourhood area, as shown on the attached</w:t>
      </w:r>
      <w:r w:rsidR="003C46BA">
        <w:rPr>
          <w:color w:val="000000" w:themeColor="text1"/>
          <w:sz w:val="24"/>
          <w:szCs w:val="24"/>
        </w:rPr>
        <w:t xml:space="preserve"> map, is considered to be appropriate and justified. Under Section 61G of the Town and Country Planning Act 1990, Cawthorne Parish Council is considered to be a “relevant body” for the purpose of this application. The Parish Council respectfully request Barnsley Metropolitan Borough Council process this application in accordance with Regulation 6 of the Neighbourhood Planning (General) Regulations 2012.</w:t>
      </w:r>
    </w:p>
    <w:p w:rsidR="003C46BA" w:rsidRDefault="003C46BA" w:rsidP="002800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Signed</w:t>
      </w:r>
    </w:p>
    <w:p w:rsidR="003C46BA" w:rsidRDefault="003C46BA" w:rsidP="00280098">
      <w:pPr>
        <w:rPr>
          <w:color w:val="000000" w:themeColor="text1"/>
          <w:sz w:val="24"/>
          <w:szCs w:val="24"/>
        </w:rPr>
      </w:pPr>
    </w:p>
    <w:p w:rsidR="003C46BA" w:rsidRDefault="003C46BA" w:rsidP="002800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Anthony Butterworth</w:t>
      </w:r>
    </w:p>
    <w:p w:rsidR="003C46BA" w:rsidRDefault="003C46BA" w:rsidP="002800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Parish Councillor</w:t>
      </w:r>
    </w:p>
    <w:p w:rsidR="001105F8" w:rsidRDefault="001105F8" w:rsidP="0028009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Address for correspondence:</w:t>
      </w:r>
    </w:p>
    <w:p w:rsidR="001105F8" w:rsidRPr="001105F8" w:rsidRDefault="001105F8" w:rsidP="00280098">
      <w:pPr>
        <w:rPr>
          <w:color w:val="000000" w:themeColor="text1"/>
          <w:sz w:val="24"/>
          <w:szCs w:val="24"/>
        </w:rPr>
      </w:pPr>
      <w:r w:rsidRPr="001105F8">
        <w:rPr>
          <w:color w:val="000000" w:themeColor="text1"/>
          <w:sz w:val="24"/>
          <w:szCs w:val="24"/>
        </w:rPr>
        <w:t>3Church Lane, Cawthorne, Barnsley, S75 4DW</w:t>
      </w:r>
    </w:p>
    <w:p w:rsidR="001105F8" w:rsidRPr="001105F8" w:rsidRDefault="001105F8" w:rsidP="00280098">
      <w:pPr>
        <w:rPr>
          <w:b/>
          <w:color w:val="000000" w:themeColor="text1"/>
          <w:sz w:val="24"/>
          <w:szCs w:val="24"/>
        </w:rPr>
      </w:pPr>
    </w:p>
    <w:p w:rsidR="00280098" w:rsidRPr="00280098" w:rsidRDefault="003C46BA" w:rsidP="002800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1105F8">
        <w:rPr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8641494" cy="6110128"/>
            <wp:effectExtent l="825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5279" cy="61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098" w:rsidRPr="0028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55F8"/>
    <w:multiLevelType w:val="hybridMultilevel"/>
    <w:tmpl w:val="8DA43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49D6"/>
    <w:multiLevelType w:val="hybridMultilevel"/>
    <w:tmpl w:val="9650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567D"/>
    <w:multiLevelType w:val="hybridMultilevel"/>
    <w:tmpl w:val="EB2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6F"/>
    <w:rsid w:val="001105F8"/>
    <w:rsid w:val="00280098"/>
    <w:rsid w:val="003C46BA"/>
    <w:rsid w:val="004731F1"/>
    <w:rsid w:val="005D7A01"/>
    <w:rsid w:val="0064416F"/>
    <w:rsid w:val="00A5659C"/>
    <w:rsid w:val="00C429F5"/>
    <w:rsid w:val="00C43A66"/>
    <w:rsid w:val="00C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TONYB</cp:lastModifiedBy>
  <cp:revision>2</cp:revision>
  <cp:lastPrinted>2017-04-05T15:12:00Z</cp:lastPrinted>
  <dcterms:created xsi:type="dcterms:W3CDTF">2017-04-05T15:13:00Z</dcterms:created>
  <dcterms:modified xsi:type="dcterms:W3CDTF">2017-04-05T15:13:00Z</dcterms:modified>
</cp:coreProperties>
</file>